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C897C" w14:textId="77777777" w:rsidR="00DB1AB3" w:rsidRPr="003F382E" w:rsidRDefault="00DB1AB3" w:rsidP="00D72AAB">
      <w:pPr>
        <w:pStyle w:val="Infotext"/>
        <w:spacing w:after="480"/>
        <w:jc w:val="both"/>
        <w:rPr>
          <w:rFonts w:ascii="Arial Black" w:hAnsi="Arial Black"/>
          <w:color w:val="999999"/>
          <w:sz w:val="36"/>
          <w:szCs w:val="36"/>
        </w:rPr>
      </w:pPr>
      <w:bookmarkStart w:id="0" w:name="_Hlk111726362"/>
      <w:bookmarkEnd w:id="0"/>
      <w:r w:rsidRPr="003F382E">
        <w:rPr>
          <w:noProof/>
        </w:rPr>
        <w:drawing>
          <wp:inline distT="0" distB="0" distL="0" distR="0" wp14:anchorId="33BAD087" wp14:editId="1BC4C70D">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W w:w="0" w:type="auto"/>
        <w:tblLook w:val="0000" w:firstRow="0" w:lastRow="0" w:firstColumn="0" w:lastColumn="0" w:noHBand="0" w:noVBand="0"/>
        <w:tblCaption w:val="Committee report details"/>
        <w:tblDescription w:val="Committee report detaals"/>
      </w:tblPr>
      <w:tblGrid>
        <w:gridCol w:w="3406"/>
        <w:gridCol w:w="4903"/>
      </w:tblGrid>
      <w:tr w:rsidR="00FE1319" w:rsidRPr="00FE1319" w14:paraId="73A0496E" w14:textId="77777777" w:rsidTr="5D583ED6">
        <w:trPr>
          <w:tblHeader/>
        </w:trPr>
        <w:tc>
          <w:tcPr>
            <w:tcW w:w="3474" w:type="dxa"/>
            <w:tcBorders>
              <w:bottom w:val="single" w:sz="18" w:space="0" w:color="auto"/>
            </w:tcBorders>
          </w:tcPr>
          <w:p w14:paraId="747348DD" w14:textId="77777777" w:rsidR="005441BD" w:rsidRPr="00FE1319" w:rsidRDefault="00DB1AB3" w:rsidP="00D72AAB">
            <w:pPr>
              <w:pStyle w:val="Heading1"/>
              <w:jc w:val="both"/>
            </w:pPr>
            <w:r w:rsidRPr="00FE1319">
              <w:t>Report for:</w:t>
            </w:r>
          </w:p>
          <w:p w14:paraId="05BF3901" w14:textId="77777777" w:rsidR="005441BD" w:rsidRPr="00FE1319" w:rsidRDefault="005441BD" w:rsidP="00D72AAB">
            <w:pPr>
              <w:pStyle w:val="Heading1"/>
              <w:jc w:val="both"/>
            </w:pPr>
          </w:p>
        </w:tc>
        <w:tc>
          <w:tcPr>
            <w:tcW w:w="5051" w:type="dxa"/>
            <w:tcBorders>
              <w:bottom w:val="single" w:sz="18" w:space="0" w:color="auto"/>
            </w:tcBorders>
          </w:tcPr>
          <w:p w14:paraId="0ED09993" w14:textId="2D8DD56B" w:rsidR="00B26D5D" w:rsidRPr="00FE1319" w:rsidRDefault="0028692E" w:rsidP="0039573E">
            <w:pPr>
              <w:pStyle w:val="Heading1"/>
              <w:rPr>
                <w:szCs w:val="28"/>
              </w:rPr>
            </w:pPr>
            <w:r w:rsidRPr="00FE1319">
              <w:t>Planning Policy Advisory Panel</w:t>
            </w:r>
          </w:p>
        </w:tc>
      </w:tr>
      <w:tr w:rsidR="005441BD" w:rsidRPr="003F382E" w14:paraId="1D86A18F" w14:textId="77777777" w:rsidTr="0026330A">
        <w:tc>
          <w:tcPr>
            <w:tcW w:w="3474" w:type="dxa"/>
            <w:tcBorders>
              <w:top w:val="single" w:sz="18" w:space="0" w:color="auto"/>
            </w:tcBorders>
          </w:tcPr>
          <w:p w14:paraId="672E0788" w14:textId="77777777" w:rsidR="005441BD" w:rsidRPr="003F382E" w:rsidRDefault="005441BD" w:rsidP="00BD51C9">
            <w:pPr>
              <w:pStyle w:val="Infotext"/>
              <w:spacing w:after="120"/>
              <w:jc w:val="both"/>
              <w:rPr>
                <w:rFonts w:ascii="Arial Black" w:hAnsi="Arial Black" w:cs="Arial"/>
              </w:rPr>
            </w:pPr>
            <w:r w:rsidRPr="003F382E">
              <w:rPr>
                <w:rFonts w:ascii="Arial Black" w:hAnsi="Arial Black"/>
              </w:rPr>
              <w:t>Date</w:t>
            </w:r>
            <w:r w:rsidR="007A012E" w:rsidRPr="003F382E">
              <w:rPr>
                <w:rFonts w:ascii="Arial Black" w:hAnsi="Arial Black"/>
              </w:rPr>
              <w:t xml:space="preserve"> of Meeting</w:t>
            </w:r>
            <w:r w:rsidRPr="003F382E">
              <w:rPr>
                <w:rFonts w:ascii="Arial Black" w:hAnsi="Arial Black"/>
              </w:rPr>
              <w:t>:</w:t>
            </w:r>
          </w:p>
        </w:tc>
        <w:tc>
          <w:tcPr>
            <w:tcW w:w="5051" w:type="dxa"/>
            <w:tcBorders>
              <w:top w:val="single" w:sz="18" w:space="0" w:color="auto"/>
            </w:tcBorders>
          </w:tcPr>
          <w:p w14:paraId="6BE3CEEF" w14:textId="0C02C842" w:rsidR="005441BD" w:rsidRPr="00C07368" w:rsidRDefault="42659A33" w:rsidP="00BD51C9">
            <w:pPr>
              <w:pStyle w:val="Infotext"/>
              <w:spacing w:after="120"/>
              <w:jc w:val="both"/>
              <w:rPr>
                <w:rFonts w:cs="Arial"/>
                <w:sz w:val="24"/>
                <w:szCs w:val="24"/>
              </w:rPr>
            </w:pPr>
            <w:r w:rsidRPr="00C07368">
              <w:rPr>
                <w:rFonts w:cs="Arial"/>
                <w:sz w:val="24"/>
                <w:szCs w:val="24"/>
              </w:rPr>
              <w:t>9</w:t>
            </w:r>
            <w:r w:rsidRPr="00C07368">
              <w:rPr>
                <w:rFonts w:cs="Arial"/>
                <w:sz w:val="24"/>
                <w:szCs w:val="24"/>
                <w:vertAlign w:val="superscript"/>
              </w:rPr>
              <w:t>th</w:t>
            </w:r>
            <w:r w:rsidR="4B68C206" w:rsidRPr="00C07368">
              <w:rPr>
                <w:rFonts w:cs="Arial"/>
                <w:sz w:val="24"/>
                <w:szCs w:val="24"/>
              </w:rPr>
              <w:t xml:space="preserve"> </w:t>
            </w:r>
            <w:r w:rsidR="367668D1" w:rsidRPr="00C07368">
              <w:rPr>
                <w:rFonts w:cs="Arial"/>
                <w:sz w:val="24"/>
                <w:szCs w:val="24"/>
              </w:rPr>
              <w:t>January</w:t>
            </w:r>
            <w:r w:rsidR="4B68C206" w:rsidRPr="00C07368">
              <w:rPr>
                <w:rFonts w:cs="Arial"/>
                <w:sz w:val="24"/>
                <w:szCs w:val="24"/>
              </w:rPr>
              <w:t xml:space="preserve"> 2023</w:t>
            </w:r>
          </w:p>
        </w:tc>
      </w:tr>
      <w:tr w:rsidR="005441BD" w:rsidRPr="003F382E" w14:paraId="06DAEBB8" w14:textId="77777777" w:rsidTr="0026330A">
        <w:tc>
          <w:tcPr>
            <w:tcW w:w="3474" w:type="dxa"/>
          </w:tcPr>
          <w:p w14:paraId="50F0B2CE" w14:textId="77777777" w:rsidR="005441BD" w:rsidRPr="003F382E" w:rsidRDefault="005441BD" w:rsidP="00BD51C9">
            <w:pPr>
              <w:pStyle w:val="Infotext"/>
              <w:spacing w:after="120"/>
              <w:jc w:val="both"/>
              <w:rPr>
                <w:rFonts w:ascii="Arial Black" w:hAnsi="Arial Black"/>
              </w:rPr>
            </w:pPr>
            <w:r w:rsidRPr="003F382E">
              <w:rPr>
                <w:rFonts w:ascii="Arial Black" w:hAnsi="Arial Black" w:cs="Arial"/>
              </w:rPr>
              <w:t>Subject:</w:t>
            </w:r>
          </w:p>
        </w:tc>
        <w:tc>
          <w:tcPr>
            <w:tcW w:w="5051" w:type="dxa"/>
          </w:tcPr>
          <w:p w14:paraId="3D086A18" w14:textId="395ADDD3" w:rsidR="0076484B" w:rsidRPr="00C07368" w:rsidRDefault="50698FDF" w:rsidP="00BD51C9">
            <w:pPr>
              <w:pStyle w:val="Infotext"/>
              <w:spacing w:after="120"/>
              <w:jc w:val="both"/>
              <w:rPr>
                <w:rFonts w:cs="Arial"/>
                <w:sz w:val="24"/>
                <w:szCs w:val="24"/>
              </w:rPr>
            </w:pPr>
            <w:bookmarkStart w:id="1" w:name="_Hlk122534135"/>
            <w:r w:rsidRPr="00C07368">
              <w:rPr>
                <w:rFonts w:cs="Arial"/>
                <w:sz w:val="24"/>
                <w:szCs w:val="24"/>
              </w:rPr>
              <w:t xml:space="preserve">Draft </w:t>
            </w:r>
            <w:r w:rsidR="35DFD170" w:rsidRPr="00C07368">
              <w:rPr>
                <w:rFonts w:cs="Arial"/>
                <w:sz w:val="24"/>
                <w:szCs w:val="24"/>
              </w:rPr>
              <w:t>Tall Buildings</w:t>
            </w:r>
            <w:r w:rsidR="5F0CD8C8" w:rsidRPr="00C07368">
              <w:rPr>
                <w:rFonts w:cs="Arial"/>
                <w:sz w:val="24"/>
                <w:szCs w:val="24"/>
              </w:rPr>
              <w:t xml:space="preserve"> </w:t>
            </w:r>
            <w:r w:rsidR="4B8FD412" w:rsidRPr="00C07368">
              <w:rPr>
                <w:rFonts w:cs="Arial"/>
                <w:sz w:val="24"/>
                <w:szCs w:val="24"/>
              </w:rPr>
              <w:t>(</w:t>
            </w:r>
            <w:r w:rsidR="340A7F6D" w:rsidRPr="00C07368">
              <w:rPr>
                <w:rFonts w:cs="Arial"/>
                <w:sz w:val="24"/>
                <w:szCs w:val="24"/>
              </w:rPr>
              <w:t>‘</w:t>
            </w:r>
            <w:r w:rsidR="06FD9619" w:rsidRPr="00C07368">
              <w:rPr>
                <w:rFonts w:cs="Arial"/>
                <w:sz w:val="24"/>
                <w:szCs w:val="24"/>
              </w:rPr>
              <w:t>Building Heights</w:t>
            </w:r>
            <w:r w:rsidR="517DA515" w:rsidRPr="00C07368">
              <w:rPr>
                <w:rFonts w:cs="Arial"/>
                <w:sz w:val="24"/>
                <w:szCs w:val="24"/>
              </w:rPr>
              <w:t>’</w:t>
            </w:r>
            <w:r w:rsidR="4B8FD412" w:rsidRPr="00C07368">
              <w:rPr>
                <w:rFonts w:cs="Arial"/>
                <w:sz w:val="24"/>
                <w:szCs w:val="24"/>
              </w:rPr>
              <w:t xml:space="preserve">) </w:t>
            </w:r>
            <w:r w:rsidR="31015E48" w:rsidRPr="00C07368">
              <w:rPr>
                <w:rFonts w:cs="Arial"/>
                <w:sz w:val="24"/>
                <w:szCs w:val="24"/>
              </w:rPr>
              <w:t xml:space="preserve">Supplementary Planning Document </w:t>
            </w:r>
            <w:r w:rsidR="0F581A0E" w:rsidRPr="00C07368">
              <w:rPr>
                <w:rFonts w:cs="Arial"/>
                <w:sz w:val="24"/>
                <w:szCs w:val="24"/>
              </w:rPr>
              <w:t>(SPD)</w:t>
            </w:r>
            <w:r w:rsidR="07BFFCF3" w:rsidRPr="00C07368">
              <w:rPr>
                <w:rFonts w:cs="Arial"/>
                <w:sz w:val="24"/>
                <w:szCs w:val="24"/>
              </w:rPr>
              <w:t xml:space="preserve"> </w:t>
            </w:r>
            <w:r w:rsidR="7253B362" w:rsidRPr="00C07368">
              <w:rPr>
                <w:rFonts w:cs="Arial"/>
                <w:sz w:val="24"/>
                <w:szCs w:val="24"/>
              </w:rPr>
              <w:t>–</w:t>
            </w:r>
            <w:r w:rsidR="005A0BA4" w:rsidRPr="00C07368">
              <w:rPr>
                <w:rFonts w:cs="Arial"/>
                <w:sz w:val="24"/>
                <w:szCs w:val="24"/>
              </w:rPr>
              <w:t xml:space="preserve">for consideration and </w:t>
            </w:r>
            <w:r w:rsidR="00591A84" w:rsidRPr="00C07368">
              <w:rPr>
                <w:rFonts w:cs="Arial"/>
                <w:sz w:val="24"/>
                <w:szCs w:val="24"/>
              </w:rPr>
              <w:t>recommendatio</w:t>
            </w:r>
            <w:r w:rsidR="00ED0818" w:rsidRPr="00C07368">
              <w:rPr>
                <w:rFonts w:cs="Arial"/>
                <w:sz w:val="24"/>
                <w:szCs w:val="24"/>
              </w:rPr>
              <w:t>n</w:t>
            </w:r>
            <w:r w:rsidR="005A0BA4" w:rsidRPr="00C07368">
              <w:rPr>
                <w:rFonts w:cs="Arial"/>
                <w:sz w:val="24"/>
                <w:szCs w:val="24"/>
              </w:rPr>
              <w:t xml:space="preserve"> to Cabinet for </w:t>
            </w:r>
            <w:r w:rsidR="00ED0818" w:rsidRPr="00C07368">
              <w:rPr>
                <w:rFonts w:cs="Arial"/>
                <w:sz w:val="24"/>
                <w:szCs w:val="24"/>
              </w:rPr>
              <w:t>approval</w:t>
            </w:r>
            <w:r w:rsidR="005A0BA4" w:rsidRPr="00C07368">
              <w:rPr>
                <w:rFonts w:cs="Arial"/>
                <w:sz w:val="24"/>
                <w:szCs w:val="24"/>
              </w:rPr>
              <w:t xml:space="preserve"> to consult</w:t>
            </w:r>
            <w:bookmarkEnd w:id="1"/>
          </w:p>
        </w:tc>
      </w:tr>
      <w:tr w:rsidR="005441BD" w:rsidRPr="003F382E" w14:paraId="10A4A937" w14:textId="77777777" w:rsidTr="0026330A">
        <w:tc>
          <w:tcPr>
            <w:tcW w:w="3474" w:type="dxa"/>
          </w:tcPr>
          <w:p w14:paraId="1791B2E2" w14:textId="77777777" w:rsidR="005441BD" w:rsidRPr="003F382E" w:rsidRDefault="005441BD" w:rsidP="00BD51C9">
            <w:pPr>
              <w:pStyle w:val="Infotext"/>
              <w:spacing w:after="120"/>
              <w:jc w:val="both"/>
            </w:pPr>
            <w:r w:rsidRPr="003F382E">
              <w:rPr>
                <w:rFonts w:ascii="Arial Black" w:hAnsi="Arial Black" w:cs="Arial"/>
              </w:rPr>
              <w:t>Key Decision:</w:t>
            </w:r>
          </w:p>
        </w:tc>
        <w:tc>
          <w:tcPr>
            <w:tcW w:w="5051" w:type="dxa"/>
          </w:tcPr>
          <w:p w14:paraId="04A387FD" w14:textId="49DB601B" w:rsidR="0099076B" w:rsidRPr="00C07368" w:rsidRDefault="005441BD" w:rsidP="00BD51C9">
            <w:pPr>
              <w:pStyle w:val="Infotext"/>
              <w:spacing w:after="120"/>
              <w:jc w:val="both"/>
              <w:rPr>
                <w:rFonts w:cs="Arial"/>
                <w:sz w:val="24"/>
                <w:szCs w:val="24"/>
              </w:rPr>
            </w:pPr>
            <w:r w:rsidRPr="00C07368">
              <w:rPr>
                <w:rFonts w:cs="Arial"/>
                <w:sz w:val="24"/>
                <w:szCs w:val="24"/>
              </w:rPr>
              <w:t>No</w:t>
            </w:r>
            <w:r w:rsidR="00A77359" w:rsidRPr="00C07368">
              <w:rPr>
                <w:rFonts w:cs="Arial"/>
                <w:sz w:val="24"/>
                <w:szCs w:val="24"/>
              </w:rPr>
              <w:t xml:space="preserve"> – advisory panel onl</w:t>
            </w:r>
            <w:r w:rsidR="00C63CB8" w:rsidRPr="00C07368">
              <w:rPr>
                <w:rFonts w:cs="Arial"/>
                <w:sz w:val="24"/>
                <w:szCs w:val="24"/>
              </w:rPr>
              <w:t>y</w:t>
            </w:r>
          </w:p>
        </w:tc>
      </w:tr>
      <w:tr w:rsidR="005441BD" w:rsidRPr="003F382E" w14:paraId="454ADD95" w14:textId="77777777" w:rsidTr="0026330A">
        <w:tc>
          <w:tcPr>
            <w:tcW w:w="3474" w:type="dxa"/>
          </w:tcPr>
          <w:p w14:paraId="17FC4E38" w14:textId="77777777" w:rsidR="005441BD" w:rsidRPr="003F382E" w:rsidRDefault="005441BD" w:rsidP="00BD51C9">
            <w:pPr>
              <w:pStyle w:val="Infotext"/>
              <w:spacing w:after="120"/>
              <w:jc w:val="both"/>
              <w:rPr>
                <w:rFonts w:ascii="Arial Black" w:hAnsi="Arial Black" w:cs="Arial"/>
              </w:rPr>
            </w:pPr>
            <w:r w:rsidRPr="003F382E">
              <w:rPr>
                <w:rFonts w:ascii="Arial Black" w:hAnsi="Arial Black" w:cs="Arial"/>
              </w:rPr>
              <w:t>Responsible Officer:</w:t>
            </w:r>
          </w:p>
        </w:tc>
        <w:tc>
          <w:tcPr>
            <w:tcW w:w="5051" w:type="dxa"/>
          </w:tcPr>
          <w:p w14:paraId="2B5EC923" w14:textId="41414D6D" w:rsidR="00C470EB" w:rsidRPr="00C07368" w:rsidRDefault="00C470EB" w:rsidP="00BD51C9">
            <w:pPr>
              <w:pStyle w:val="Infotext"/>
              <w:spacing w:after="120"/>
              <w:jc w:val="both"/>
              <w:rPr>
                <w:rFonts w:cs="Arial"/>
                <w:sz w:val="24"/>
                <w:szCs w:val="24"/>
              </w:rPr>
            </w:pPr>
            <w:r w:rsidRPr="00C07368">
              <w:rPr>
                <w:rFonts w:cs="Arial"/>
                <w:sz w:val="24"/>
                <w:szCs w:val="24"/>
              </w:rPr>
              <w:t xml:space="preserve">Dipti Patel, Corporate Director Place </w:t>
            </w:r>
          </w:p>
          <w:p w14:paraId="5ED24FC3" w14:textId="7E381943" w:rsidR="00036698" w:rsidRPr="00C07368" w:rsidRDefault="00CF71C1" w:rsidP="00BD51C9">
            <w:pPr>
              <w:pStyle w:val="Infotext"/>
              <w:spacing w:after="120"/>
              <w:jc w:val="both"/>
              <w:rPr>
                <w:rFonts w:cs="Arial"/>
                <w:sz w:val="24"/>
                <w:szCs w:val="24"/>
              </w:rPr>
            </w:pPr>
            <w:r w:rsidRPr="00C07368">
              <w:rPr>
                <w:rFonts w:cs="Arial"/>
                <w:sz w:val="24"/>
                <w:szCs w:val="24"/>
              </w:rPr>
              <w:t>Viv Evans,</w:t>
            </w:r>
            <w:r w:rsidR="005441BD" w:rsidRPr="00C07368">
              <w:rPr>
                <w:rFonts w:cs="Arial"/>
                <w:sz w:val="24"/>
                <w:szCs w:val="24"/>
              </w:rPr>
              <w:t xml:space="preserve"> Chief </w:t>
            </w:r>
            <w:r w:rsidR="004C40D1" w:rsidRPr="00C07368">
              <w:rPr>
                <w:rFonts w:cs="Arial"/>
                <w:sz w:val="24"/>
                <w:szCs w:val="24"/>
              </w:rPr>
              <w:t xml:space="preserve">Planning </w:t>
            </w:r>
            <w:r w:rsidR="005441BD" w:rsidRPr="00C07368">
              <w:rPr>
                <w:rFonts w:cs="Arial"/>
                <w:sz w:val="24"/>
                <w:szCs w:val="24"/>
              </w:rPr>
              <w:t>Officer</w:t>
            </w:r>
            <w:r w:rsidR="00FD23D9" w:rsidRPr="00C07368">
              <w:rPr>
                <w:rFonts w:cs="Arial"/>
                <w:sz w:val="24"/>
                <w:szCs w:val="24"/>
              </w:rPr>
              <w:t xml:space="preserve"> </w:t>
            </w:r>
          </w:p>
        </w:tc>
      </w:tr>
      <w:tr w:rsidR="005441BD" w:rsidRPr="003F382E" w14:paraId="67151276" w14:textId="77777777" w:rsidTr="0026330A">
        <w:tc>
          <w:tcPr>
            <w:tcW w:w="3474" w:type="dxa"/>
          </w:tcPr>
          <w:p w14:paraId="64236CA0" w14:textId="77777777" w:rsidR="005441BD" w:rsidRPr="003F382E" w:rsidRDefault="005441BD" w:rsidP="00BD51C9">
            <w:pPr>
              <w:pStyle w:val="Infotext"/>
              <w:spacing w:after="120"/>
              <w:jc w:val="both"/>
              <w:rPr>
                <w:rFonts w:ascii="Arial Black" w:hAnsi="Arial Black" w:cs="Arial"/>
              </w:rPr>
            </w:pPr>
            <w:r w:rsidRPr="003F382E">
              <w:rPr>
                <w:rFonts w:ascii="Arial Black" w:hAnsi="Arial Black" w:cs="Arial"/>
              </w:rPr>
              <w:t>Portfolio Holder:</w:t>
            </w:r>
          </w:p>
        </w:tc>
        <w:tc>
          <w:tcPr>
            <w:tcW w:w="5051" w:type="dxa"/>
          </w:tcPr>
          <w:p w14:paraId="4D94F8AE" w14:textId="7C68FC96" w:rsidR="00110E82" w:rsidRPr="00C07368" w:rsidRDefault="000C5EBE" w:rsidP="00BD51C9">
            <w:pPr>
              <w:pStyle w:val="Infotext"/>
              <w:spacing w:after="120"/>
              <w:jc w:val="both"/>
              <w:rPr>
                <w:rFonts w:cs="Arial"/>
                <w:sz w:val="24"/>
                <w:szCs w:val="24"/>
              </w:rPr>
            </w:pPr>
            <w:r w:rsidRPr="00C07368">
              <w:rPr>
                <w:rFonts w:cs="Arial"/>
                <w:sz w:val="24"/>
                <w:szCs w:val="24"/>
              </w:rPr>
              <w:t>Cllr Marilyn Ashton</w:t>
            </w:r>
            <w:r w:rsidR="00C4117C" w:rsidRPr="00C07368">
              <w:rPr>
                <w:rFonts w:cs="Arial"/>
                <w:sz w:val="24"/>
                <w:szCs w:val="24"/>
              </w:rPr>
              <w:t xml:space="preserve"> </w:t>
            </w:r>
            <w:r w:rsidR="008B2A21" w:rsidRPr="00C07368">
              <w:rPr>
                <w:rFonts w:cs="Arial"/>
                <w:sz w:val="24"/>
                <w:szCs w:val="24"/>
              </w:rPr>
              <w:t xml:space="preserve">Deputy Leader of the Council, </w:t>
            </w:r>
            <w:r w:rsidRPr="00C07368">
              <w:rPr>
                <w:rFonts w:cs="Arial"/>
                <w:color w:val="252B36"/>
                <w:sz w:val="24"/>
                <w:szCs w:val="24"/>
              </w:rPr>
              <w:t>Portfolio Holder for Planning &amp; Regeneration</w:t>
            </w:r>
          </w:p>
        </w:tc>
      </w:tr>
      <w:tr w:rsidR="005441BD" w:rsidRPr="003F382E" w14:paraId="16E0D62B" w14:textId="77777777" w:rsidTr="0026330A">
        <w:tc>
          <w:tcPr>
            <w:tcW w:w="3474" w:type="dxa"/>
          </w:tcPr>
          <w:p w14:paraId="2E721E3F" w14:textId="77777777" w:rsidR="005441BD" w:rsidRPr="003F382E" w:rsidRDefault="005441BD" w:rsidP="00BD51C9">
            <w:pPr>
              <w:pStyle w:val="Infotext"/>
              <w:spacing w:after="120"/>
              <w:jc w:val="both"/>
              <w:rPr>
                <w:rFonts w:ascii="Arial Black" w:hAnsi="Arial Black" w:cs="Arial"/>
              </w:rPr>
            </w:pPr>
            <w:r w:rsidRPr="003F382E">
              <w:rPr>
                <w:rFonts w:ascii="Arial Black" w:hAnsi="Arial Black" w:cs="Arial"/>
              </w:rPr>
              <w:t>Exempt:</w:t>
            </w:r>
          </w:p>
        </w:tc>
        <w:tc>
          <w:tcPr>
            <w:tcW w:w="5051" w:type="dxa"/>
          </w:tcPr>
          <w:p w14:paraId="401C4070" w14:textId="74054761" w:rsidR="0099076B" w:rsidRPr="00C07368" w:rsidRDefault="005441BD" w:rsidP="00BD51C9">
            <w:pPr>
              <w:pStyle w:val="Infotext"/>
              <w:spacing w:after="120"/>
              <w:jc w:val="both"/>
              <w:rPr>
                <w:rFonts w:cs="Arial"/>
                <w:sz w:val="24"/>
                <w:szCs w:val="24"/>
              </w:rPr>
            </w:pPr>
            <w:r w:rsidRPr="00C07368">
              <w:rPr>
                <w:rFonts w:cs="Arial"/>
                <w:sz w:val="24"/>
                <w:szCs w:val="24"/>
              </w:rPr>
              <w:t>N</w:t>
            </w:r>
            <w:r w:rsidR="00C63CB8" w:rsidRPr="00C07368">
              <w:rPr>
                <w:rFonts w:cs="Arial"/>
                <w:sz w:val="24"/>
                <w:szCs w:val="24"/>
              </w:rPr>
              <w:t>o</w:t>
            </w:r>
          </w:p>
        </w:tc>
      </w:tr>
      <w:tr w:rsidR="0099076B" w:rsidRPr="003F382E" w14:paraId="46C1B06C" w14:textId="77777777" w:rsidTr="0026330A">
        <w:tc>
          <w:tcPr>
            <w:tcW w:w="3474" w:type="dxa"/>
          </w:tcPr>
          <w:p w14:paraId="4A84DC0E" w14:textId="77777777" w:rsidR="0099076B" w:rsidRPr="003F382E" w:rsidRDefault="0099076B" w:rsidP="00BD51C9">
            <w:pPr>
              <w:pStyle w:val="Infotext"/>
              <w:spacing w:after="120"/>
              <w:jc w:val="both"/>
              <w:rPr>
                <w:rFonts w:ascii="Arial Black" w:hAnsi="Arial Black" w:cs="Arial"/>
              </w:rPr>
            </w:pPr>
            <w:r w:rsidRPr="003F382E">
              <w:rPr>
                <w:rFonts w:ascii="Arial Black" w:hAnsi="Arial Black" w:cs="Arial"/>
              </w:rPr>
              <w:t>Decision subject to Call-in:</w:t>
            </w:r>
          </w:p>
        </w:tc>
        <w:tc>
          <w:tcPr>
            <w:tcW w:w="5051" w:type="dxa"/>
          </w:tcPr>
          <w:p w14:paraId="3FC6C007" w14:textId="734CF4E5" w:rsidR="000D5D8B" w:rsidRPr="00C07368" w:rsidRDefault="0099076B" w:rsidP="00BD51C9">
            <w:pPr>
              <w:pStyle w:val="Infotext"/>
              <w:spacing w:after="120"/>
              <w:jc w:val="both"/>
              <w:rPr>
                <w:rFonts w:cs="Arial"/>
                <w:sz w:val="24"/>
                <w:szCs w:val="24"/>
              </w:rPr>
            </w:pPr>
            <w:r w:rsidRPr="00C07368">
              <w:rPr>
                <w:rFonts w:cs="Arial"/>
                <w:sz w:val="24"/>
                <w:szCs w:val="24"/>
              </w:rPr>
              <w:t>No</w:t>
            </w:r>
          </w:p>
        </w:tc>
      </w:tr>
      <w:tr w:rsidR="0064262B" w:rsidRPr="003F382E" w14:paraId="73CF4E26" w14:textId="77777777" w:rsidTr="0026330A">
        <w:tc>
          <w:tcPr>
            <w:tcW w:w="3474" w:type="dxa"/>
          </w:tcPr>
          <w:p w14:paraId="0F99FDF2" w14:textId="77777777" w:rsidR="00D54435" w:rsidRPr="003F382E" w:rsidRDefault="0064262B" w:rsidP="00BD51C9">
            <w:pPr>
              <w:pStyle w:val="Infotext"/>
              <w:spacing w:after="120"/>
              <w:jc w:val="both"/>
              <w:rPr>
                <w:rFonts w:ascii="Arial Black" w:hAnsi="Arial Black" w:cs="Arial"/>
              </w:rPr>
            </w:pPr>
            <w:r w:rsidRPr="003F382E">
              <w:rPr>
                <w:rFonts w:ascii="Arial Black" w:hAnsi="Arial Black" w:cs="Arial"/>
              </w:rPr>
              <w:t>Wards affected:</w:t>
            </w:r>
          </w:p>
        </w:tc>
        <w:tc>
          <w:tcPr>
            <w:tcW w:w="5051" w:type="dxa"/>
          </w:tcPr>
          <w:p w14:paraId="76AA06AF" w14:textId="786D92F5" w:rsidR="00D43BA2" w:rsidRPr="00C07368" w:rsidRDefault="00D43BA2" w:rsidP="00BD51C9">
            <w:pPr>
              <w:pStyle w:val="Infotext"/>
              <w:spacing w:after="120"/>
              <w:jc w:val="both"/>
              <w:rPr>
                <w:rFonts w:cs="Arial"/>
                <w:sz w:val="24"/>
                <w:szCs w:val="24"/>
              </w:rPr>
            </w:pPr>
            <w:r w:rsidRPr="00C07368">
              <w:rPr>
                <w:rFonts w:cs="Arial"/>
                <w:sz w:val="24"/>
                <w:szCs w:val="24"/>
              </w:rPr>
              <w:t>All Wards</w:t>
            </w:r>
          </w:p>
        </w:tc>
      </w:tr>
      <w:tr w:rsidR="005441BD" w:rsidRPr="003F382E" w14:paraId="3A7EFAEE" w14:textId="77777777" w:rsidTr="0026330A">
        <w:tc>
          <w:tcPr>
            <w:tcW w:w="3474" w:type="dxa"/>
          </w:tcPr>
          <w:p w14:paraId="72F5FB44" w14:textId="77777777" w:rsidR="005441BD" w:rsidRPr="003F382E" w:rsidRDefault="005441BD" w:rsidP="00BD51C9">
            <w:pPr>
              <w:pStyle w:val="Infotext"/>
              <w:spacing w:after="120"/>
              <w:jc w:val="both"/>
              <w:rPr>
                <w:rFonts w:ascii="Arial Black" w:hAnsi="Arial Black" w:cs="Arial"/>
              </w:rPr>
            </w:pPr>
            <w:r w:rsidRPr="003F382E">
              <w:rPr>
                <w:rFonts w:ascii="Arial Black" w:hAnsi="Arial Black" w:cs="Arial"/>
              </w:rPr>
              <w:t>Enclosures:</w:t>
            </w:r>
          </w:p>
        </w:tc>
        <w:tc>
          <w:tcPr>
            <w:tcW w:w="5051" w:type="dxa"/>
          </w:tcPr>
          <w:p w14:paraId="05A8DEFB" w14:textId="56DCBD4F" w:rsidR="008434B2" w:rsidRPr="00C07368" w:rsidRDefault="0D1EA5A6" w:rsidP="00BD51C9">
            <w:pPr>
              <w:pStyle w:val="Infotext"/>
              <w:spacing w:after="120"/>
              <w:jc w:val="both"/>
              <w:rPr>
                <w:rFonts w:cs="Arial"/>
                <w:sz w:val="24"/>
                <w:szCs w:val="24"/>
              </w:rPr>
            </w:pPr>
            <w:r w:rsidRPr="00C07368">
              <w:rPr>
                <w:rFonts w:cs="Arial"/>
                <w:sz w:val="24"/>
                <w:szCs w:val="24"/>
              </w:rPr>
              <w:t xml:space="preserve">Appendix 1 </w:t>
            </w:r>
            <w:r w:rsidR="6A66C0F7" w:rsidRPr="00C07368">
              <w:rPr>
                <w:rFonts w:cs="Arial"/>
                <w:sz w:val="24"/>
                <w:szCs w:val="24"/>
              </w:rPr>
              <w:t>–</w:t>
            </w:r>
            <w:r w:rsidRPr="00C07368">
              <w:rPr>
                <w:rFonts w:cs="Arial"/>
                <w:sz w:val="24"/>
                <w:szCs w:val="24"/>
              </w:rPr>
              <w:t xml:space="preserve"> </w:t>
            </w:r>
            <w:r w:rsidR="23AAAF94" w:rsidRPr="00C07368">
              <w:rPr>
                <w:rFonts w:cs="Arial"/>
                <w:sz w:val="24"/>
                <w:szCs w:val="24"/>
              </w:rPr>
              <w:t xml:space="preserve">Draft </w:t>
            </w:r>
            <w:r w:rsidR="26EDCADA" w:rsidRPr="00C07368">
              <w:rPr>
                <w:rFonts w:cs="Arial"/>
                <w:sz w:val="24"/>
                <w:szCs w:val="24"/>
              </w:rPr>
              <w:t>Tall Buildings (‘</w:t>
            </w:r>
            <w:r w:rsidR="23AAAF94" w:rsidRPr="00C07368">
              <w:rPr>
                <w:rFonts w:cs="Arial"/>
                <w:sz w:val="24"/>
                <w:szCs w:val="24"/>
              </w:rPr>
              <w:t xml:space="preserve">Building </w:t>
            </w:r>
            <w:r w:rsidR="26EDCADA" w:rsidRPr="00C07368">
              <w:rPr>
                <w:rFonts w:cs="Arial"/>
                <w:sz w:val="24"/>
                <w:szCs w:val="24"/>
              </w:rPr>
              <w:t>Heights’</w:t>
            </w:r>
            <w:r w:rsidR="3EA6D419" w:rsidRPr="00C07368">
              <w:rPr>
                <w:rFonts w:cs="Arial"/>
                <w:sz w:val="24"/>
                <w:szCs w:val="24"/>
              </w:rPr>
              <w:t xml:space="preserve">) </w:t>
            </w:r>
            <w:r w:rsidR="23AAAF94" w:rsidRPr="00C07368">
              <w:rPr>
                <w:rFonts w:cs="Arial"/>
                <w:sz w:val="24"/>
                <w:szCs w:val="24"/>
              </w:rPr>
              <w:t>SPD</w:t>
            </w:r>
          </w:p>
        </w:tc>
      </w:tr>
    </w:tbl>
    <w:p w14:paraId="346D5BB2" w14:textId="77777777" w:rsidR="005441BD" w:rsidRPr="003F382E" w:rsidRDefault="005441BD" w:rsidP="00BD51C9">
      <w:pPr>
        <w:spacing w:after="240"/>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9"/>
      </w:tblGrid>
      <w:tr w:rsidR="005200DF" w:rsidRPr="003F382E" w14:paraId="20A4F076" w14:textId="77777777" w:rsidTr="77359D87">
        <w:tc>
          <w:tcPr>
            <w:tcW w:w="8525" w:type="dxa"/>
            <w:tcBorders>
              <w:top w:val="nil"/>
              <w:left w:val="nil"/>
              <w:right w:val="nil"/>
            </w:tcBorders>
          </w:tcPr>
          <w:p w14:paraId="62639055" w14:textId="77777777" w:rsidR="005200DF" w:rsidRPr="003F382E" w:rsidRDefault="005200DF" w:rsidP="00D72AAB">
            <w:pPr>
              <w:pStyle w:val="Heading2"/>
              <w:spacing w:after="240"/>
              <w:jc w:val="both"/>
            </w:pPr>
            <w:r w:rsidRPr="003F382E">
              <w:t>Section 1 – Summary and Recommendations</w:t>
            </w:r>
          </w:p>
        </w:tc>
      </w:tr>
      <w:tr w:rsidR="005441BD" w:rsidRPr="003F382E" w14:paraId="07FFE2EC" w14:textId="77777777" w:rsidTr="77359D87">
        <w:tc>
          <w:tcPr>
            <w:tcW w:w="8525" w:type="dxa"/>
          </w:tcPr>
          <w:p w14:paraId="72A9A1B3" w14:textId="77777777" w:rsidR="005441BD" w:rsidRPr="003F382E" w:rsidRDefault="005441BD" w:rsidP="00D72AAB">
            <w:pPr>
              <w:jc w:val="both"/>
            </w:pPr>
          </w:p>
          <w:p w14:paraId="71289F1E" w14:textId="067B3DA5" w:rsidR="004B3E1F" w:rsidRPr="002F7B0D" w:rsidRDefault="1B052EAA" w:rsidP="00D72AAB">
            <w:pPr>
              <w:jc w:val="both"/>
            </w:pPr>
            <w:r>
              <w:t xml:space="preserve">This report </w:t>
            </w:r>
            <w:r w:rsidR="1DF98059">
              <w:t>provides a</w:t>
            </w:r>
            <w:r w:rsidR="50B52FB0">
              <w:t xml:space="preserve"> </w:t>
            </w:r>
            <w:r w:rsidR="799AA23D">
              <w:t>progress</w:t>
            </w:r>
            <w:r w:rsidR="1DF98059">
              <w:t xml:space="preserve"> update to the </w:t>
            </w:r>
            <w:r w:rsidR="021CA37C">
              <w:t xml:space="preserve">drafting of a </w:t>
            </w:r>
            <w:r w:rsidR="42FBA6B4">
              <w:t xml:space="preserve">draft </w:t>
            </w:r>
            <w:r w:rsidR="1FD0513D" w:rsidRPr="3FE75ED4">
              <w:rPr>
                <w:rFonts w:cs="Arial"/>
                <w:szCs w:val="24"/>
              </w:rPr>
              <w:t>Tall Buildings (‘</w:t>
            </w:r>
            <w:r w:rsidR="021CA37C" w:rsidRPr="3FE75ED4">
              <w:rPr>
                <w:rFonts w:cs="Arial"/>
                <w:szCs w:val="24"/>
              </w:rPr>
              <w:t xml:space="preserve">Building </w:t>
            </w:r>
            <w:r w:rsidR="1FD0513D" w:rsidRPr="3FE75ED4">
              <w:rPr>
                <w:rFonts w:cs="Arial"/>
                <w:szCs w:val="24"/>
              </w:rPr>
              <w:t>Heights’</w:t>
            </w:r>
            <w:r w:rsidR="22028A79" w:rsidRPr="3FE75ED4">
              <w:rPr>
                <w:rFonts w:cs="Arial"/>
                <w:szCs w:val="24"/>
              </w:rPr>
              <w:t>)</w:t>
            </w:r>
            <w:r w:rsidR="021CA37C">
              <w:t xml:space="preserve"> Supplementary Planning Document</w:t>
            </w:r>
            <w:r w:rsidR="0EB0B882">
              <w:t xml:space="preserve"> </w:t>
            </w:r>
            <w:bookmarkStart w:id="2" w:name="_Int_SPISXX1R"/>
            <w:r w:rsidR="0EB0B882">
              <w:t>(</w:t>
            </w:r>
            <w:r w:rsidR="065CEB46">
              <w:t>“</w:t>
            </w:r>
            <w:bookmarkEnd w:id="2"/>
            <w:r w:rsidR="0EB0B882">
              <w:t>SPD</w:t>
            </w:r>
            <w:r w:rsidR="065CEB46">
              <w:t>”</w:t>
            </w:r>
            <w:r w:rsidR="0EB0B882">
              <w:t>)</w:t>
            </w:r>
            <w:r w:rsidR="4F6771B8">
              <w:t xml:space="preserve"> (previously titled </w:t>
            </w:r>
            <w:r w:rsidR="11A2BBD2">
              <w:t>‘</w:t>
            </w:r>
            <w:r w:rsidR="4F6771B8">
              <w:t>Tall Buildings SPD</w:t>
            </w:r>
            <w:r w:rsidR="11A2BBD2">
              <w:t>’</w:t>
            </w:r>
            <w:r w:rsidR="4F6771B8">
              <w:t>)</w:t>
            </w:r>
            <w:r w:rsidR="389B5BF4">
              <w:t>.</w:t>
            </w:r>
            <w:r w:rsidR="7446568C">
              <w:t xml:space="preserve"> The report </w:t>
            </w:r>
            <w:r w:rsidR="1B888816">
              <w:t xml:space="preserve">sets out </w:t>
            </w:r>
            <w:r w:rsidR="0EB0B882">
              <w:t xml:space="preserve">the approach to the drafting of the specific guidance and consultation that has been undertaken to assist in the drafting of the SPD. </w:t>
            </w:r>
            <w:r w:rsidR="7CEC43E4">
              <w:t>The Panel is invited to make comments on t</w:t>
            </w:r>
            <w:r w:rsidR="0EB0B882">
              <w:t xml:space="preserve">he </w:t>
            </w:r>
            <w:r w:rsidR="2341857D">
              <w:t>initial</w:t>
            </w:r>
            <w:r w:rsidR="43268560">
              <w:t xml:space="preserve"> </w:t>
            </w:r>
            <w:r w:rsidR="0EB0B882">
              <w:t>draft SPD</w:t>
            </w:r>
            <w:r w:rsidR="7CEC43E4">
              <w:t>, which</w:t>
            </w:r>
            <w:r w:rsidR="0EB0B882">
              <w:t xml:space="preserve"> is attached as Appendix 1. </w:t>
            </w:r>
          </w:p>
          <w:p w14:paraId="7DA252D0" w14:textId="77777777" w:rsidR="004B3E1F" w:rsidRDefault="004B3E1F" w:rsidP="00D72AAB">
            <w:pPr>
              <w:jc w:val="both"/>
              <w:rPr>
                <w:highlight w:val="yellow"/>
              </w:rPr>
            </w:pPr>
          </w:p>
          <w:p w14:paraId="6ABBF0F2" w14:textId="77777777" w:rsidR="005441BD" w:rsidRPr="003F382E" w:rsidRDefault="005441BD" w:rsidP="00D72AAB">
            <w:pPr>
              <w:pStyle w:val="Heading3"/>
              <w:rPr>
                <w:i/>
              </w:rPr>
            </w:pPr>
            <w:r w:rsidRPr="003F382E">
              <w:t>Recommendations:</w:t>
            </w:r>
            <w:r w:rsidRPr="003F382E">
              <w:rPr>
                <w:i/>
              </w:rPr>
              <w:t xml:space="preserve"> </w:t>
            </w:r>
          </w:p>
          <w:p w14:paraId="47175E89" w14:textId="694728E0" w:rsidR="005441BD" w:rsidRPr="003F382E" w:rsidRDefault="006C320E" w:rsidP="00D72AAB">
            <w:pPr>
              <w:jc w:val="both"/>
            </w:pPr>
            <w:r w:rsidRPr="003F382E">
              <w:t xml:space="preserve">The Panel </w:t>
            </w:r>
            <w:r w:rsidR="005441BD" w:rsidRPr="003F382E">
              <w:t>is requested to:</w:t>
            </w:r>
          </w:p>
          <w:p w14:paraId="6A11566F" w14:textId="362DCAB9" w:rsidR="00586B1E" w:rsidRPr="003F382E" w:rsidRDefault="00586B1E" w:rsidP="00D72AAB">
            <w:pPr>
              <w:jc w:val="both"/>
            </w:pPr>
          </w:p>
          <w:p w14:paraId="3139CE43" w14:textId="13E7C177" w:rsidR="00B86213" w:rsidRDefault="5875E60C" w:rsidP="00D72AAB">
            <w:pPr>
              <w:pStyle w:val="ListParagraph"/>
              <w:numPr>
                <w:ilvl w:val="0"/>
                <w:numId w:val="9"/>
              </w:numPr>
              <w:jc w:val="both"/>
              <w:rPr>
                <w:sz w:val="24"/>
                <w:szCs w:val="24"/>
              </w:rPr>
            </w:pPr>
            <w:r w:rsidRPr="42D6601E">
              <w:rPr>
                <w:sz w:val="24"/>
                <w:szCs w:val="24"/>
              </w:rPr>
              <w:t xml:space="preserve">Note </w:t>
            </w:r>
            <w:r w:rsidR="4A0A028A" w:rsidRPr="42D6601E">
              <w:rPr>
                <w:sz w:val="24"/>
                <w:szCs w:val="24"/>
              </w:rPr>
              <w:t xml:space="preserve">and comment on </w:t>
            </w:r>
            <w:r w:rsidRPr="42D6601E">
              <w:rPr>
                <w:sz w:val="24"/>
                <w:szCs w:val="24"/>
              </w:rPr>
              <w:t xml:space="preserve">the change to the title of the </w:t>
            </w:r>
            <w:r w:rsidR="001A29EA" w:rsidRPr="42D6601E">
              <w:rPr>
                <w:sz w:val="24"/>
                <w:szCs w:val="24"/>
              </w:rPr>
              <w:t>draft</w:t>
            </w:r>
            <w:r w:rsidR="00C72C93" w:rsidRPr="42D6601E">
              <w:rPr>
                <w:sz w:val="24"/>
                <w:szCs w:val="24"/>
              </w:rPr>
              <w:t xml:space="preserve"> SPD</w:t>
            </w:r>
          </w:p>
          <w:p w14:paraId="15C6F25A" w14:textId="2DDE25CB" w:rsidR="00586B1E" w:rsidRPr="003F382E" w:rsidRDefault="00586B1E" w:rsidP="00D72AAB">
            <w:pPr>
              <w:pStyle w:val="ListParagraph"/>
              <w:numPr>
                <w:ilvl w:val="0"/>
                <w:numId w:val="9"/>
              </w:numPr>
              <w:jc w:val="both"/>
              <w:rPr>
                <w:sz w:val="24"/>
                <w:szCs w:val="24"/>
              </w:rPr>
            </w:pPr>
            <w:r w:rsidRPr="42D6601E">
              <w:rPr>
                <w:sz w:val="24"/>
                <w:szCs w:val="24"/>
              </w:rPr>
              <w:t xml:space="preserve">Note the contents of the report and the </w:t>
            </w:r>
            <w:r w:rsidR="002B5754" w:rsidRPr="42D6601E">
              <w:rPr>
                <w:sz w:val="24"/>
                <w:szCs w:val="24"/>
              </w:rPr>
              <w:t xml:space="preserve">initial </w:t>
            </w:r>
            <w:r w:rsidR="009A5BAC" w:rsidRPr="42D6601E">
              <w:rPr>
                <w:sz w:val="24"/>
                <w:szCs w:val="24"/>
              </w:rPr>
              <w:t xml:space="preserve">draft </w:t>
            </w:r>
            <w:r w:rsidR="00C72C93" w:rsidRPr="42D6601E">
              <w:rPr>
                <w:sz w:val="24"/>
                <w:szCs w:val="24"/>
              </w:rPr>
              <w:t>SPD</w:t>
            </w:r>
            <w:r w:rsidR="34E69BE7" w:rsidRPr="42D6601E">
              <w:rPr>
                <w:sz w:val="24"/>
                <w:szCs w:val="24"/>
              </w:rPr>
              <w:t xml:space="preserve"> </w:t>
            </w:r>
            <w:r w:rsidR="00682393" w:rsidRPr="42D6601E">
              <w:rPr>
                <w:sz w:val="24"/>
                <w:szCs w:val="24"/>
              </w:rPr>
              <w:t>(Appendix 1)</w:t>
            </w:r>
          </w:p>
          <w:p w14:paraId="4C1C256E" w14:textId="302F45E0" w:rsidR="0028779D" w:rsidRPr="003F382E" w:rsidRDefault="0028779D" w:rsidP="00D72AAB">
            <w:pPr>
              <w:pStyle w:val="ListParagraph"/>
              <w:numPr>
                <w:ilvl w:val="0"/>
                <w:numId w:val="9"/>
              </w:numPr>
              <w:jc w:val="both"/>
              <w:rPr>
                <w:sz w:val="24"/>
                <w:szCs w:val="24"/>
              </w:rPr>
            </w:pPr>
            <w:r w:rsidRPr="003F382E">
              <w:rPr>
                <w:sz w:val="24"/>
                <w:szCs w:val="24"/>
              </w:rPr>
              <w:t xml:space="preserve">Note the proposed </w:t>
            </w:r>
            <w:r w:rsidR="0052068D" w:rsidRPr="003F382E">
              <w:rPr>
                <w:sz w:val="24"/>
                <w:szCs w:val="24"/>
              </w:rPr>
              <w:t>t</w:t>
            </w:r>
            <w:r w:rsidRPr="003F382E">
              <w:rPr>
                <w:sz w:val="24"/>
                <w:szCs w:val="24"/>
              </w:rPr>
              <w:t xml:space="preserve">imetable </w:t>
            </w:r>
            <w:r w:rsidR="0052068D" w:rsidRPr="003F382E">
              <w:rPr>
                <w:sz w:val="24"/>
                <w:szCs w:val="24"/>
              </w:rPr>
              <w:t xml:space="preserve">headlines </w:t>
            </w:r>
            <w:r w:rsidRPr="003F382E">
              <w:rPr>
                <w:sz w:val="24"/>
                <w:szCs w:val="24"/>
              </w:rPr>
              <w:t xml:space="preserve">contained </w:t>
            </w:r>
            <w:r w:rsidR="0052068D" w:rsidRPr="003F382E">
              <w:rPr>
                <w:sz w:val="24"/>
                <w:szCs w:val="24"/>
              </w:rPr>
              <w:t xml:space="preserve">paragraph </w:t>
            </w:r>
            <w:r w:rsidR="0084176A">
              <w:rPr>
                <w:sz w:val="24"/>
                <w:szCs w:val="24"/>
              </w:rPr>
              <w:t>2.5</w:t>
            </w:r>
          </w:p>
          <w:p w14:paraId="211A5E2E" w14:textId="59C95C70" w:rsidR="001B7D8A" w:rsidRPr="003F382E" w:rsidRDefault="75B39FE0" w:rsidP="00D72AAB">
            <w:pPr>
              <w:pStyle w:val="ListParagraph"/>
              <w:numPr>
                <w:ilvl w:val="0"/>
                <w:numId w:val="9"/>
              </w:numPr>
              <w:jc w:val="both"/>
              <w:rPr>
                <w:sz w:val="24"/>
                <w:szCs w:val="24"/>
              </w:rPr>
            </w:pPr>
            <w:r w:rsidRPr="77359D87">
              <w:rPr>
                <w:sz w:val="24"/>
                <w:szCs w:val="24"/>
              </w:rPr>
              <w:t xml:space="preserve">Provide </w:t>
            </w:r>
            <w:r w:rsidR="65B837C1" w:rsidRPr="77359D87">
              <w:rPr>
                <w:sz w:val="24"/>
                <w:szCs w:val="24"/>
              </w:rPr>
              <w:t xml:space="preserve">comments / </w:t>
            </w:r>
            <w:r w:rsidRPr="77359D87">
              <w:rPr>
                <w:sz w:val="24"/>
                <w:szCs w:val="24"/>
              </w:rPr>
              <w:t xml:space="preserve">feedback </w:t>
            </w:r>
            <w:r w:rsidR="34DCACF7" w:rsidRPr="77359D87">
              <w:rPr>
                <w:sz w:val="24"/>
                <w:szCs w:val="24"/>
              </w:rPr>
              <w:t xml:space="preserve">in relation to the information set out in this report and associated </w:t>
            </w:r>
            <w:r w:rsidR="03690BCB" w:rsidRPr="77359D87">
              <w:rPr>
                <w:sz w:val="24"/>
                <w:szCs w:val="24"/>
              </w:rPr>
              <w:t xml:space="preserve">draft SPD (Appendix 1) </w:t>
            </w:r>
            <w:r w:rsidR="001B545F">
              <w:rPr>
                <w:sz w:val="24"/>
                <w:szCs w:val="24"/>
              </w:rPr>
              <w:t>(</w:t>
            </w:r>
            <w:r w:rsidR="6BB06196" w:rsidRPr="77359D87">
              <w:rPr>
                <w:sz w:val="24"/>
                <w:szCs w:val="24"/>
              </w:rPr>
              <w:t xml:space="preserve">to inform any </w:t>
            </w:r>
            <w:r w:rsidR="6BB06196" w:rsidRPr="77359D87">
              <w:rPr>
                <w:sz w:val="24"/>
                <w:szCs w:val="24"/>
              </w:rPr>
              <w:lastRenderedPageBreak/>
              <w:t xml:space="preserve">revisions prior to the </w:t>
            </w:r>
            <w:r w:rsidR="1A570BF8" w:rsidRPr="77359D87">
              <w:rPr>
                <w:sz w:val="24"/>
                <w:szCs w:val="24"/>
              </w:rPr>
              <w:t>draft being submitted to Cabinet for consideration and agreement to consult</w:t>
            </w:r>
            <w:proofErr w:type="gramStart"/>
            <w:r w:rsidR="001B545F">
              <w:rPr>
                <w:sz w:val="24"/>
                <w:szCs w:val="24"/>
              </w:rPr>
              <w:t>)</w:t>
            </w:r>
            <w:r w:rsidR="251E7F2D" w:rsidRPr="77359D87">
              <w:rPr>
                <w:sz w:val="24"/>
                <w:szCs w:val="24"/>
              </w:rPr>
              <w:t>, and</w:t>
            </w:r>
            <w:proofErr w:type="gramEnd"/>
            <w:r w:rsidR="251E7F2D" w:rsidRPr="77359D87">
              <w:rPr>
                <w:sz w:val="24"/>
                <w:szCs w:val="24"/>
              </w:rPr>
              <w:t xml:space="preserve"> commend the draft SPD to Cabinet for </w:t>
            </w:r>
            <w:r w:rsidR="13ED04A2" w:rsidRPr="77359D87">
              <w:rPr>
                <w:sz w:val="24"/>
                <w:szCs w:val="24"/>
              </w:rPr>
              <w:t>approval to consult</w:t>
            </w:r>
            <w:r w:rsidR="34DCACF7" w:rsidRPr="77359D87">
              <w:rPr>
                <w:sz w:val="24"/>
                <w:szCs w:val="24"/>
              </w:rPr>
              <w:t xml:space="preserve">. </w:t>
            </w:r>
          </w:p>
          <w:p w14:paraId="5943BE6C" w14:textId="62D51EB7" w:rsidR="00DF658E" w:rsidRPr="00C70C3F" w:rsidRDefault="00B645B6" w:rsidP="00D72AAB">
            <w:pPr>
              <w:pStyle w:val="ListParagraph"/>
              <w:numPr>
                <w:ilvl w:val="0"/>
                <w:numId w:val="9"/>
              </w:numPr>
              <w:jc w:val="both"/>
              <w:rPr>
                <w:sz w:val="24"/>
                <w:szCs w:val="24"/>
              </w:rPr>
            </w:pPr>
            <w:r w:rsidRPr="00C70C3F">
              <w:rPr>
                <w:sz w:val="24"/>
                <w:szCs w:val="24"/>
              </w:rPr>
              <w:t>Note the outline consultation arrangements should Cabinet agree to consult on the draft document.</w:t>
            </w:r>
          </w:p>
          <w:p w14:paraId="250837B3" w14:textId="62748A7B" w:rsidR="00C84AD3" w:rsidRPr="003F382E" w:rsidRDefault="001F31D6" w:rsidP="00D72AAB">
            <w:pPr>
              <w:pStyle w:val="Heading3"/>
              <w:spacing w:before="240" w:after="240"/>
              <w:ind w:left="0" w:firstLine="0"/>
            </w:pPr>
            <w:r w:rsidRPr="003F382E">
              <w:t>Reason: (f</w:t>
            </w:r>
            <w:r w:rsidR="00DB1857" w:rsidRPr="003F382E">
              <w:t>or recommendation)</w:t>
            </w:r>
            <w:r w:rsidR="008D0B76" w:rsidRPr="003F382E">
              <w:t xml:space="preserve"> </w:t>
            </w:r>
            <w:r w:rsidRPr="003F382E">
              <w:t xml:space="preserve"> </w:t>
            </w:r>
          </w:p>
          <w:p w14:paraId="2A7A7136" w14:textId="71A165E5" w:rsidR="005441BD" w:rsidRDefault="33E4B5F3" w:rsidP="11CE1E5C">
            <w:pPr>
              <w:jc w:val="both"/>
            </w:pPr>
            <w:r>
              <w:t xml:space="preserve">To </w:t>
            </w:r>
            <w:r w:rsidR="0A597845">
              <w:t xml:space="preserve">note the </w:t>
            </w:r>
            <w:r w:rsidR="4D236230">
              <w:t xml:space="preserve">progress </w:t>
            </w:r>
            <w:r w:rsidR="0A597845">
              <w:t xml:space="preserve">in </w:t>
            </w:r>
            <w:r w:rsidR="4D236230">
              <w:t xml:space="preserve">drafting the </w:t>
            </w:r>
            <w:r w:rsidR="00F32FDA">
              <w:t xml:space="preserve">SPD </w:t>
            </w:r>
            <w:r w:rsidR="6750503E">
              <w:t xml:space="preserve">and to provide the opportunity for comment prior to the document being considered </w:t>
            </w:r>
            <w:r w:rsidR="137FAF96">
              <w:t xml:space="preserve">by </w:t>
            </w:r>
            <w:r w:rsidR="02FF66F0">
              <w:t xml:space="preserve">Cabinet </w:t>
            </w:r>
            <w:r w:rsidR="137FAF96">
              <w:t>for consultation</w:t>
            </w:r>
            <w:r>
              <w:t xml:space="preserve">. </w:t>
            </w:r>
          </w:p>
          <w:p w14:paraId="7339B5C9" w14:textId="424349FE" w:rsidR="00F4793D" w:rsidRPr="003F382E" w:rsidRDefault="00F4793D" w:rsidP="00D72AAB">
            <w:pPr>
              <w:jc w:val="both"/>
            </w:pPr>
          </w:p>
        </w:tc>
      </w:tr>
    </w:tbl>
    <w:p w14:paraId="7EB137CB" w14:textId="77777777" w:rsidR="005C1159" w:rsidRPr="003F382E" w:rsidRDefault="005C1159" w:rsidP="00D72AAB">
      <w:pPr>
        <w:pStyle w:val="Heading1"/>
        <w:jc w:val="both"/>
        <w:rPr>
          <w:color w:val="0000FF"/>
          <w:sz w:val="28"/>
        </w:rPr>
        <w:sectPr w:rsidR="005C1159" w:rsidRPr="003F382E" w:rsidSect="002D7BE3">
          <w:headerReference w:type="default" r:id="rId12"/>
          <w:footerReference w:type="default" r:id="rId13"/>
          <w:footerReference w:type="first" r:id="rId14"/>
          <w:pgSz w:w="11909" w:h="16834" w:code="9"/>
          <w:pgMar w:top="864" w:right="1800" w:bottom="0" w:left="1800" w:header="1008" w:footer="432" w:gutter="0"/>
          <w:cols w:space="720"/>
          <w:docGrid w:linePitch="360"/>
        </w:sectPr>
      </w:pPr>
    </w:p>
    <w:p w14:paraId="6FB6728F" w14:textId="77777777" w:rsidR="005441BD" w:rsidRPr="003F382E" w:rsidRDefault="005441BD" w:rsidP="00D72AAB">
      <w:pPr>
        <w:pStyle w:val="Heading2"/>
        <w:keepNext/>
        <w:spacing w:before="480"/>
        <w:jc w:val="both"/>
      </w:pPr>
      <w:r w:rsidRPr="003F382E">
        <w:t>Section 2 – Report</w:t>
      </w:r>
    </w:p>
    <w:p w14:paraId="0901A58A" w14:textId="77777777" w:rsidR="005441BD" w:rsidRPr="003F382E" w:rsidRDefault="005441BD" w:rsidP="00D72AAB">
      <w:pPr>
        <w:keepNext/>
        <w:jc w:val="both"/>
      </w:pPr>
    </w:p>
    <w:p w14:paraId="1F38596E" w14:textId="23775619" w:rsidR="005441BD" w:rsidRPr="003F382E" w:rsidRDefault="008D5F92" w:rsidP="00D72AAB">
      <w:pPr>
        <w:pStyle w:val="Heading3"/>
        <w:keepNext/>
      </w:pPr>
      <w:r w:rsidRPr="003F382E">
        <w:t>1.0</w:t>
      </w:r>
      <w:r w:rsidRPr="003F382E">
        <w:tab/>
      </w:r>
      <w:r w:rsidR="005441BD" w:rsidRPr="003F382E">
        <w:t>Introduct</w:t>
      </w:r>
      <w:r w:rsidR="000029FE" w:rsidRPr="003F382E">
        <w:t>ion</w:t>
      </w:r>
    </w:p>
    <w:p w14:paraId="25D04D51" w14:textId="4332E5B5" w:rsidR="00336C8B" w:rsidRPr="003F382E" w:rsidRDefault="00336C8B" w:rsidP="00D72AAB">
      <w:pPr>
        <w:keepNext/>
        <w:jc w:val="both"/>
      </w:pPr>
    </w:p>
    <w:p w14:paraId="462CEBE0" w14:textId="0E21B3E6" w:rsidR="00336C8B" w:rsidRPr="003F382E" w:rsidRDefault="004547CA" w:rsidP="00D72AAB">
      <w:pPr>
        <w:ind w:left="720" w:hanging="720"/>
        <w:jc w:val="both"/>
        <w:rPr>
          <w:rFonts w:ascii="Times New Roman" w:hAnsi="Times New Roman"/>
          <w:lang w:eastAsia="en-GB"/>
        </w:rPr>
      </w:pPr>
      <w:r w:rsidRPr="003F382E">
        <w:t>1.1</w:t>
      </w:r>
      <w:r w:rsidRPr="003F382E">
        <w:tab/>
      </w:r>
      <w:r w:rsidR="00E45139" w:rsidRPr="003F382E">
        <w:t>T</w:t>
      </w:r>
      <w:r w:rsidR="00336C8B" w:rsidRPr="003F382E">
        <w:t xml:space="preserve">he Council has </w:t>
      </w:r>
      <w:r w:rsidR="001D40DB">
        <w:t xml:space="preserve">previously </w:t>
      </w:r>
      <w:r w:rsidR="00336C8B" w:rsidRPr="003F382E">
        <w:t>committed to prepare a Tall Buildings Supplementary Planning Document (SPD)</w:t>
      </w:r>
      <w:r w:rsidR="00336C8B" w:rsidRPr="003F382E">
        <w:rPr>
          <w:rStyle w:val="FootnoteReference"/>
        </w:rPr>
        <w:footnoteReference w:id="2"/>
      </w:r>
      <w:r w:rsidR="00336C8B" w:rsidRPr="003F382E">
        <w:t xml:space="preserve">, which will directly respond to meeting </w:t>
      </w:r>
      <w:r w:rsidR="00E85ECD" w:rsidRPr="003F382E">
        <w:t xml:space="preserve">a stated </w:t>
      </w:r>
      <w:r w:rsidR="00336C8B" w:rsidRPr="003F382E">
        <w:t xml:space="preserve">priority of the </w:t>
      </w:r>
      <w:r w:rsidR="000F581B" w:rsidRPr="003F382E">
        <w:t>Council</w:t>
      </w:r>
      <w:r w:rsidR="00E85ECD" w:rsidRPr="003F382E">
        <w:t xml:space="preserve"> </w:t>
      </w:r>
      <w:bookmarkStart w:id="3" w:name="_Int_EBCguS9I"/>
      <w:r w:rsidR="451349E5" w:rsidRPr="003F382E">
        <w:t>to provide guidance on</w:t>
      </w:r>
      <w:bookmarkEnd w:id="3"/>
      <w:r w:rsidR="00E85ECD" w:rsidRPr="003F382E">
        <w:t xml:space="preserve"> tall buildings in suburbia</w:t>
      </w:r>
      <w:r w:rsidR="67188C36" w:rsidRPr="003F382E">
        <w:t xml:space="preserve"> to maintain the character of the area while allowing for growth</w:t>
      </w:r>
      <w:r w:rsidR="00336C8B" w:rsidRPr="003F382E">
        <w:t xml:space="preserve">. </w:t>
      </w:r>
    </w:p>
    <w:p w14:paraId="47BBEE1E" w14:textId="0FAACBAB" w:rsidR="00336C8B" w:rsidRPr="003F382E" w:rsidRDefault="00336C8B" w:rsidP="00D72AAB">
      <w:pPr>
        <w:jc w:val="both"/>
      </w:pPr>
    </w:p>
    <w:p w14:paraId="203AAD3E" w14:textId="54B0BDE3" w:rsidR="008F34EF" w:rsidRDefault="004547CA" w:rsidP="00D72AAB">
      <w:pPr>
        <w:ind w:left="720" w:hanging="720"/>
        <w:jc w:val="both"/>
      </w:pPr>
      <w:r>
        <w:t>1.</w:t>
      </w:r>
      <w:r w:rsidR="000D2C4A">
        <w:t>2</w:t>
      </w:r>
      <w:r>
        <w:tab/>
      </w:r>
      <w:r w:rsidR="007E3019">
        <w:t>This</w:t>
      </w:r>
      <w:r w:rsidR="00B56820">
        <w:t xml:space="preserve"> </w:t>
      </w:r>
      <w:r w:rsidR="00FE08A0">
        <w:t>report</w:t>
      </w:r>
      <w:r w:rsidR="00BE7349">
        <w:t xml:space="preserve"> </w:t>
      </w:r>
      <w:r w:rsidR="00FE64CC">
        <w:t>p</w:t>
      </w:r>
      <w:r w:rsidR="009A657B">
        <w:t xml:space="preserve">rovides an update </w:t>
      </w:r>
      <w:r w:rsidR="00964292">
        <w:t xml:space="preserve">to </w:t>
      </w:r>
      <w:r w:rsidR="004255E0">
        <w:t xml:space="preserve">the </w:t>
      </w:r>
      <w:r w:rsidR="000F09E7">
        <w:t>Planning Policy Advisory Panel</w:t>
      </w:r>
      <w:r w:rsidR="0074211B">
        <w:t xml:space="preserve"> (PPAP) </w:t>
      </w:r>
      <w:r w:rsidR="00AC3ABF">
        <w:t xml:space="preserve">report and presentation </w:t>
      </w:r>
      <w:r w:rsidR="0074211B">
        <w:t>on the</w:t>
      </w:r>
      <w:r w:rsidR="000F09E7">
        <w:t xml:space="preserve"> </w:t>
      </w:r>
      <w:bookmarkStart w:id="4" w:name="_Int_qB4Klenf"/>
      <w:proofErr w:type="gramStart"/>
      <w:r w:rsidR="000F09E7">
        <w:t>3</w:t>
      </w:r>
      <w:r w:rsidR="000F09E7" w:rsidRPr="42D6601E">
        <w:rPr>
          <w:vertAlign w:val="superscript"/>
        </w:rPr>
        <w:t>rd</w:t>
      </w:r>
      <w:bookmarkEnd w:id="4"/>
      <w:proofErr w:type="gramEnd"/>
      <w:r w:rsidR="000F09E7">
        <w:t xml:space="preserve"> October 2022, w</w:t>
      </w:r>
      <w:r w:rsidR="00100269">
        <w:t>hic</w:t>
      </w:r>
      <w:r w:rsidR="000F09E7">
        <w:t xml:space="preserve">h set out the </w:t>
      </w:r>
      <w:r w:rsidR="00C84B8D">
        <w:t xml:space="preserve">rationale </w:t>
      </w:r>
      <w:r w:rsidR="00100269">
        <w:t xml:space="preserve">behind </w:t>
      </w:r>
      <w:r w:rsidR="00C12F0E">
        <w:t>progressing</w:t>
      </w:r>
      <w:r w:rsidR="000F0C97">
        <w:t xml:space="preserve"> a </w:t>
      </w:r>
      <w:r w:rsidR="00C12F0E">
        <w:t xml:space="preserve">tall building SPD, the policy framework, evidence base, and the </w:t>
      </w:r>
      <w:r w:rsidR="0035086A">
        <w:t xml:space="preserve">proposed themes, </w:t>
      </w:r>
      <w:r w:rsidR="0DA5E466">
        <w:t>objectives,</w:t>
      </w:r>
      <w:r w:rsidR="00400F68">
        <w:t xml:space="preserve"> and principles that the tall building SPD would be progressed on. </w:t>
      </w:r>
    </w:p>
    <w:p w14:paraId="035AA2ED" w14:textId="4728FEC5" w:rsidR="00AE0C96" w:rsidRDefault="00AE0C96" w:rsidP="00D72AAB">
      <w:pPr>
        <w:ind w:left="720" w:hanging="720"/>
        <w:jc w:val="both"/>
      </w:pPr>
    </w:p>
    <w:p w14:paraId="59AE201C" w14:textId="5469F220" w:rsidR="00A41E83" w:rsidRDefault="00AE0C96" w:rsidP="00D72AAB">
      <w:pPr>
        <w:ind w:left="720" w:hanging="720"/>
        <w:jc w:val="both"/>
      </w:pPr>
      <w:r>
        <w:t>1.3</w:t>
      </w:r>
      <w:r>
        <w:tab/>
      </w:r>
      <w:r w:rsidR="00CF1CE0">
        <w:t xml:space="preserve">This report </w:t>
      </w:r>
      <w:r w:rsidR="00A40DD9">
        <w:t xml:space="preserve">introduces the draft SPD </w:t>
      </w:r>
      <w:r w:rsidR="00723927">
        <w:t xml:space="preserve">based on the </w:t>
      </w:r>
      <w:r w:rsidR="00066B69">
        <w:t xml:space="preserve">approach within paragraph 1.2 above, agreed at the </w:t>
      </w:r>
      <w:r w:rsidR="002B412D">
        <w:t xml:space="preserve">PPAP </w:t>
      </w:r>
      <w:r w:rsidR="0074211B">
        <w:t xml:space="preserve">meeting of the </w:t>
      </w:r>
      <w:bookmarkStart w:id="5" w:name="_Int_11Fi6vsV"/>
      <w:proofErr w:type="gramStart"/>
      <w:r w:rsidR="0074211B">
        <w:t>3</w:t>
      </w:r>
      <w:r w:rsidR="0074211B" w:rsidRPr="0074211B">
        <w:rPr>
          <w:vertAlign w:val="superscript"/>
        </w:rPr>
        <w:t>rd</w:t>
      </w:r>
      <w:bookmarkEnd w:id="5"/>
      <w:proofErr w:type="gramEnd"/>
      <w:r w:rsidR="0074211B">
        <w:t xml:space="preserve"> October 2022.</w:t>
      </w:r>
      <w:r w:rsidR="00A66EB4">
        <w:t xml:space="preserve"> The </w:t>
      </w:r>
      <w:r w:rsidR="00CF141E">
        <w:t xml:space="preserve">draft SPD sets out the </w:t>
      </w:r>
      <w:r w:rsidR="004B0EB0">
        <w:t>reasoning</w:t>
      </w:r>
      <w:r w:rsidR="00CF141E">
        <w:t xml:space="preserve"> for the SPD, </w:t>
      </w:r>
      <w:r w:rsidR="004B0EB0">
        <w:t>evidence</w:t>
      </w:r>
      <w:r w:rsidR="00CF141E">
        <w:t xml:space="preserve"> base, how</w:t>
      </w:r>
      <w:r w:rsidR="005D5EB4">
        <w:t xml:space="preserve"> and when</w:t>
      </w:r>
      <w:r w:rsidR="00CF141E">
        <w:t xml:space="preserve"> to use </w:t>
      </w:r>
      <w:r w:rsidR="005D5EB4">
        <w:t>the guidance</w:t>
      </w:r>
      <w:r w:rsidR="00CF141E">
        <w:t>, sta</w:t>
      </w:r>
      <w:r w:rsidR="004B0EB0">
        <w:t>tus</w:t>
      </w:r>
      <w:r w:rsidR="00CF141E">
        <w:t xml:space="preserve"> of document and the </w:t>
      </w:r>
      <w:r w:rsidR="004B0EB0">
        <w:t>guidance text and images.</w:t>
      </w:r>
      <w:r w:rsidR="00CB5A34">
        <w:t xml:space="preserve"> </w:t>
      </w:r>
    </w:p>
    <w:p w14:paraId="7E76C6A2" w14:textId="77777777" w:rsidR="000D6756" w:rsidRDefault="000D6756" w:rsidP="00D72AAB">
      <w:pPr>
        <w:ind w:left="720" w:hanging="720"/>
        <w:jc w:val="both"/>
      </w:pPr>
    </w:p>
    <w:p w14:paraId="367361BF" w14:textId="75E6D5AB" w:rsidR="000D6756" w:rsidRDefault="3CA819C2" w:rsidP="11CE1E5C">
      <w:pPr>
        <w:ind w:left="720" w:hanging="720"/>
        <w:jc w:val="both"/>
      </w:pPr>
      <w:r>
        <w:t>1.4</w:t>
      </w:r>
      <w:r>
        <w:tab/>
      </w:r>
      <w:r w:rsidR="11A2BBD2">
        <w:t xml:space="preserve">Since the </w:t>
      </w:r>
      <w:r w:rsidR="40C83FEF">
        <w:t>PPAP meeting on 3</w:t>
      </w:r>
      <w:r w:rsidR="40C83FEF" w:rsidRPr="42D6601E">
        <w:rPr>
          <w:vertAlign w:val="superscript"/>
        </w:rPr>
        <w:t>rd</w:t>
      </w:r>
      <w:r w:rsidR="40C83FEF">
        <w:t xml:space="preserve"> October 2022, it is proposed to title the SPD the ‘</w:t>
      </w:r>
      <w:r w:rsidR="5C70D286" w:rsidRPr="1A05E84A">
        <w:rPr>
          <w:rFonts w:cs="Arial"/>
          <w:szCs w:val="24"/>
        </w:rPr>
        <w:t>Tall Buildings (‘</w:t>
      </w:r>
      <w:r w:rsidR="40C83FEF" w:rsidRPr="1A05E84A">
        <w:rPr>
          <w:rFonts w:cs="Arial"/>
          <w:szCs w:val="24"/>
        </w:rPr>
        <w:t xml:space="preserve">Building </w:t>
      </w:r>
      <w:r w:rsidR="5C70D286" w:rsidRPr="1A05E84A">
        <w:rPr>
          <w:rFonts w:cs="Arial"/>
          <w:szCs w:val="24"/>
        </w:rPr>
        <w:t>Heights’</w:t>
      </w:r>
      <w:r w:rsidR="0A374808" w:rsidRPr="1A05E84A">
        <w:rPr>
          <w:rFonts w:cs="Arial"/>
          <w:szCs w:val="24"/>
        </w:rPr>
        <w:t>)</w:t>
      </w:r>
      <w:r w:rsidR="40C83FEF">
        <w:t xml:space="preserve"> S</w:t>
      </w:r>
      <w:r w:rsidR="00245E9F">
        <w:t xml:space="preserve">upplementary </w:t>
      </w:r>
      <w:r w:rsidR="40C83FEF">
        <w:t>P</w:t>
      </w:r>
      <w:r w:rsidR="00245E9F">
        <w:t xml:space="preserve">lanning </w:t>
      </w:r>
      <w:r w:rsidR="40C83FEF">
        <w:t>D</w:t>
      </w:r>
      <w:r w:rsidR="00245E9F">
        <w:t>ocument</w:t>
      </w:r>
      <w:r w:rsidR="40C83FEF">
        <w:t>’</w:t>
      </w:r>
      <w:r w:rsidR="3DEACB9F">
        <w:t xml:space="preserve">, for the reasons set out in </w:t>
      </w:r>
      <w:r w:rsidR="4CE97044">
        <w:t>Section 4</w:t>
      </w:r>
      <w:r w:rsidR="3DEACB9F">
        <w:t xml:space="preserve"> below.</w:t>
      </w:r>
    </w:p>
    <w:p w14:paraId="0F4C2053" w14:textId="69709941" w:rsidR="00B85F65" w:rsidRDefault="00B85F65" w:rsidP="11CE1E5C">
      <w:pPr>
        <w:ind w:left="720" w:hanging="720"/>
        <w:jc w:val="both"/>
      </w:pPr>
    </w:p>
    <w:p w14:paraId="6871EDB4" w14:textId="50E2C27C" w:rsidR="008F34EF" w:rsidRDefault="00FD4765" w:rsidP="00D72AAB">
      <w:pPr>
        <w:ind w:left="720" w:hanging="720"/>
        <w:jc w:val="both"/>
      </w:pPr>
      <w:r>
        <w:t>1.5</w:t>
      </w:r>
      <w:r>
        <w:tab/>
      </w:r>
      <w:r w:rsidRPr="00FD4765">
        <w:t xml:space="preserve">This SPD does not apply within the Harrow &amp; Wealdstone Opportunity Area. Opportunity Areas are designated through the London </w:t>
      </w:r>
      <w:proofErr w:type="gramStart"/>
      <w:r w:rsidRPr="00FD4765">
        <w:t>Plan, and</w:t>
      </w:r>
      <w:proofErr w:type="gramEnd"/>
      <w:r w:rsidRPr="00FD4765">
        <w:t xml:space="preserve"> are noted as areas where growth is directed to and are subject to significant change. It is recognised that the Harrow &amp; Wealdstone Opportunity Area represents where growth has been strategically directed to over the local plan period, and as such has already undergone significant change including many tall building developments. This SPD will only apply to the suburban context of Harrow, which is outside of the designated Harrow &amp; Wealdstone Opportunity Area, where the development plan does not envision such significant change and development opportunities.</w:t>
      </w:r>
    </w:p>
    <w:p w14:paraId="722FDB12" w14:textId="35E8D276" w:rsidR="0020509D" w:rsidRPr="00610BB5" w:rsidRDefault="00E743C1" w:rsidP="00003EBD">
      <w:pPr>
        <w:pStyle w:val="Heading2"/>
        <w:keepNext/>
        <w:spacing w:before="240"/>
        <w:jc w:val="both"/>
        <w:rPr>
          <w:b w:val="0"/>
          <w:bCs w:val="0"/>
          <w:u w:val="single"/>
        </w:rPr>
      </w:pPr>
      <w:r w:rsidRPr="00003EBD">
        <w:rPr>
          <w:rFonts w:ascii="Arial" w:hAnsi="Arial"/>
          <w:sz w:val="28"/>
          <w:szCs w:val="28"/>
        </w:rPr>
        <w:lastRenderedPageBreak/>
        <w:t>2.0</w:t>
      </w:r>
      <w:r w:rsidR="00610BB5" w:rsidRPr="00003EBD">
        <w:rPr>
          <w:rFonts w:ascii="Arial" w:hAnsi="Arial"/>
          <w:sz w:val="28"/>
          <w:szCs w:val="28"/>
        </w:rPr>
        <w:tab/>
        <w:t xml:space="preserve">Timetable </w:t>
      </w:r>
    </w:p>
    <w:p w14:paraId="4E0DFDA1" w14:textId="77777777" w:rsidR="00BE5F2A" w:rsidRPr="003F382E" w:rsidRDefault="00BE5F2A" w:rsidP="00003EBD">
      <w:pPr>
        <w:keepNext/>
        <w:jc w:val="both"/>
        <w:rPr>
          <w:rFonts w:cs="Arial"/>
          <w:szCs w:val="24"/>
          <w:lang w:eastAsia="en-GB"/>
        </w:rPr>
      </w:pPr>
    </w:p>
    <w:p w14:paraId="1C3471AB" w14:textId="31EF5E4E" w:rsidR="00C03553" w:rsidRPr="0084176A" w:rsidRDefault="12E57F45" w:rsidP="11CE1E5C">
      <w:pPr>
        <w:keepNext/>
        <w:ind w:left="720" w:hanging="720"/>
        <w:jc w:val="both"/>
        <w:rPr>
          <w:rFonts w:cs="Arial"/>
          <w:lang w:eastAsia="en-GB"/>
        </w:rPr>
      </w:pPr>
      <w:r w:rsidRPr="42D6601E">
        <w:rPr>
          <w:rFonts w:cs="Arial"/>
          <w:lang w:eastAsia="en-GB"/>
        </w:rPr>
        <w:t>2</w:t>
      </w:r>
      <w:r w:rsidR="4CE04593" w:rsidRPr="42D6601E">
        <w:rPr>
          <w:rFonts w:cs="Arial"/>
          <w:lang w:eastAsia="en-GB"/>
        </w:rPr>
        <w:t>.</w:t>
      </w:r>
      <w:r w:rsidR="2CD20ABC" w:rsidRPr="42D6601E">
        <w:rPr>
          <w:rFonts w:cs="Arial"/>
          <w:lang w:eastAsia="en-GB"/>
        </w:rPr>
        <w:t>1</w:t>
      </w:r>
      <w:r>
        <w:tab/>
      </w:r>
      <w:r w:rsidR="16B2CA6A" w:rsidRPr="42D6601E">
        <w:rPr>
          <w:rFonts w:cs="Arial"/>
          <w:lang w:eastAsia="en-GB"/>
        </w:rPr>
        <w:t>In bringing forward</w:t>
      </w:r>
      <w:r w:rsidR="7F65B314" w:rsidRPr="42D6601E">
        <w:rPr>
          <w:rFonts w:cs="Arial"/>
          <w:lang w:eastAsia="en-GB"/>
        </w:rPr>
        <w:t xml:space="preserve"> </w:t>
      </w:r>
      <w:r w:rsidR="00245E9F" w:rsidRPr="42D6601E">
        <w:rPr>
          <w:rFonts w:cs="Arial"/>
          <w:lang w:eastAsia="en-GB"/>
        </w:rPr>
        <w:t>the SPD</w:t>
      </w:r>
      <w:r w:rsidR="310E7643" w:rsidRPr="42D6601E">
        <w:rPr>
          <w:rFonts w:cs="Arial"/>
          <w:lang w:eastAsia="en-GB"/>
        </w:rPr>
        <w:t>, the following set</w:t>
      </w:r>
      <w:r w:rsidR="4DAECD2A" w:rsidRPr="42D6601E">
        <w:rPr>
          <w:rFonts w:cs="Arial"/>
          <w:lang w:eastAsia="en-GB"/>
        </w:rPr>
        <w:t>s</w:t>
      </w:r>
      <w:r w:rsidR="310E7643" w:rsidRPr="42D6601E">
        <w:rPr>
          <w:rFonts w:cs="Arial"/>
          <w:lang w:eastAsia="en-GB"/>
        </w:rPr>
        <w:t xml:space="preserve"> out the </w:t>
      </w:r>
      <w:r w:rsidR="06053D1E" w:rsidRPr="42D6601E">
        <w:rPr>
          <w:rFonts w:cs="Arial"/>
          <w:lang w:eastAsia="en-GB"/>
        </w:rPr>
        <w:t>key timetable</w:t>
      </w:r>
      <w:r w:rsidR="310E7643" w:rsidRPr="42D6601E">
        <w:rPr>
          <w:rFonts w:cs="Arial"/>
          <w:lang w:eastAsia="en-GB"/>
        </w:rPr>
        <w:t xml:space="preserve"> </w:t>
      </w:r>
      <w:r w:rsidR="78F2CCFA" w:rsidRPr="42D6601E">
        <w:rPr>
          <w:rFonts w:cs="Arial"/>
          <w:lang w:eastAsia="en-GB"/>
        </w:rPr>
        <w:t xml:space="preserve">actions </w:t>
      </w:r>
      <w:r w:rsidR="310E7643" w:rsidRPr="42D6601E">
        <w:rPr>
          <w:rFonts w:cs="Arial"/>
          <w:lang w:eastAsia="en-GB"/>
        </w:rPr>
        <w:t>required to be undertaken</w:t>
      </w:r>
      <w:r w:rsidR="78F2CCFA" w:rsidRPr="42D6601E">
        <w:rPr>
          <w:rFonts w:cs="Arial"/>
          <w:lang w:eastAsia="en-GB"/>
        </w:rPr>
        <w:t xml:space="preserve"> (</w:t>
      </w:r>
      <w:r w:rsidR="7CC21137" w:rsidRPr="42D6601E">
        <w:rPr>
          <w:rFonts w:cs="Arial"/>
          <w:lang w:eastAsia="en-GB"/>
        </w:rPr>
        <w:t>Dates may be subject to change)</w:t>
      </w:r>
      <w:r w:rsidR="36E23401" w:rsidRPr="42D6601E">
        <w:rPr>
          <w:rFonts w:cs="Arial"/>
          <w:lang w:eastAsia="en-GB"/>
        </w:rPr>
        <w:t>:</w:t>
      </w:r>
    </w:p>
    <w:p w14:paraId="2CEE189A" w14:textId="4532869D" w:rsidR="00774DAD" w:rsidRPr="0084176A" w:rsidRDefault="00774DAD" w:rsidP="00882CDF">
      <w:pPr>
        <w:keepNext/>
        <w:ind w:left="720" w:hanging="720"/>
        <w:jc w:val="both"/>
        <w:rPr>
          <w:rFonts w:cs="Arial"/>
          <w:szCs w:val="24"/>
          <w:lang w:eastAsia="en-GB"/>
        </w:rPr>
      </w:pPr>
    </w:p>
    <w:p w14:paraId="7F4EFA18" w14:textId="301BB8AB" w:rsidR="00CA6366" w:rsidRDefault="00120332" w:rsidP="00D72AAB">
      <w:pPr>
        <w:pStyle w:val="ListParagraph"/>
        <w:numPr>
          <w:ilvl w:val="0"/>
          <w:numId w:val="10"/>
        </w:numPr>
        <w:jc w:val="both"/>
        <w:rPr>
          <w:sz w:val="24"/>
          <w:szCs w:val="24"/>
        </w:rPr>
      </w:pPr>
      <w:r w:rsidRPr="4565EAA7">
        <w:rPr>
          <w:sz w:val="24"/>
          <w:szCs w:val="24"/>
        </w:rPr>
        <w:t xml:space="preserve">Draft SPD for Planning Policy </w:t>
      </w:r>
      <w:r w:rsidR="0051128F" w:rsidRPr="4565EAA7">
        <w:rPr>
          <w:sz w:val="24"/>
          <w:szCs w:val="24"/>
        </w:rPr>
        <w:t xml:space="preserve">Advisory Panel: </w:t>
      </w:r>
      <w:r w:rsidR="6E4F8346" w:rsidRPr="3775FE03">
        <w:rPr>
          <w:sz w:val="24"/>
          <w:szCs w:val="24"/>
        </w:rPr>
        <w:t>9</w:t>
      </w:r>
      <w:r w:rsidR="6E4F8346" w:rsidRPr="3775FE03">
        <w:rPr>
          <w:sz w:val="24"/>
          <w:szCs w:val="24"/>
          <w:vertAlign w:val="superscript"/>
        </w:rPr>
        <w:t>th</w:t>
      </w:r>
      <w:r w:rsidR="6E4F8346" w:rsidRPr="4565EAA7">
        <w:rPr>
          <w:sz w:val="24"/>
          <w:szCs w:val="24"/>
        </w:rPr>
        <w:t xml:space="preserve"> </w:t>
      </w:r>
      <w:r w:rsidR="483C9361" w:rsidRPr="4565EAA7">
        <w:rPr>
          <w:sz w:val="24"/>
          <w:szCs w:val="24"/>
        </w:rPr>
        <w:t>January</w:t>
      </w:r>
      <w:r w:rsidR="00713284">
        <w:rPr>
          <w:sz w:val="24"/>
          <w:szCs w:val="24"/>
        </w:rPr>
        <w:t xml:space="preserve"> 2023</w:t>
      </w:r>
    </w:p>
    <w:p w14:paraId="5D95B1F8" w14:textId="667763DD" w:rsidR="00EE6E77" w:rsidRPr="0084176A" w:rsidRDefault="00A264BC" w:rsidP="00D72AAB">
      <w:pPr>
        <w:pStyle w:val="ListParagraph"/>
        <w:numPr>
          <w:ilvl w:val="0"/>
          <w:numId w:val="10"/>
        </w:numPr>
        <w:jc w:val="both"/>
        <w:rPr>
          <w:sz w:val="24"/>
          <w:szCs w:val="24"/>
        </w:rPr>
      </w:pPr>
      <w:r w:rsidRPr="4565EAA7">
        <w:rPr>
          <w:sz w:val="24"/>
          <w:szCs w:val="24"/>
        </w:rPr>
        <w:t>Further refinement of draft SPD to reflect PPAP and ongoing internal review</w:t>
      </w:r>
      <w:r w:rsidR="00577F30" w:rsidRPr="4565EAA7">
        <w:rPr>
          <w:sz w:val="24"/>
          <w:szCs w:val="24"/>
        </w:rPr>
        <w:t xml:space="preserve"> – </w:t>
      </w:r>
      <w:r w:rsidR="1470AC46" w:rsidRPr="3775FE03">
        <w:rPr>
          <w:sz w:val="24"/>
          <w:szCs w:val="24"/>
        </w:rPr>
        <w:t>January</w:t>
      </w:r>
      <w:r w:rsidR="7431E788" w:rsidRPr="4565EAA7">
        <w:rPr>
          <w:sz w:val="24"/>
          <w:szCs w:val="24"/>
        </w:rPr>
        <w:t>/February 2023</w:t>
      </w:r>
    </w:p>
    <w:p w14:paraId="7321A0B2" w14:textId="03A21446" w:rsidR="005826ED" w:rsidRPr="0084176A" w:rsidRDefault="005968D6" w:rsidP="00D72AAB">
      <w:pPr>
        <w:pStyle w:val="ListParagraph"/>
        <w:numPr>
          <w:ilvl w:val="0"/>
          <w:numId w:val="10"/>
        </w:numPr>
        <w:jc w:val="both"/>
        <w:rPr>
          <w:sz w:val="24"/>
          <w:szCs w:val="24"/>
        </w:rPr>
      </w:pPr>
      <w:r w:rsidRPr="4565EAA7">
        <w:rPr>
          <w:sz w:val="24"/>
          <w:szCs w:val="24"/>
        </w:rPr>
        <w:t>Cabinet Approval to Consult</w:t>
      </w:r>
      <w:r w:rsidR="0098184C" w:rsidRPr="4565EAA7">
        <w:rPr>
          <w:sz w:val="24"/>
          <w:szCs w:val="24"/>
        </w:rPr>
        <w:t xml:space="preserve"> on </w:t>
      </w:r>
      <w:r w:rsidR="48CC3097" w:rsidRPr="0B247BAC">
        <w:rPr>
          <w:sz w:val="24"/>
          <w:szCs w:val="24"/>
        </w:rPr>
        <w:t xml:space="preserve">draft </w:t>
      </w:r>
      <w:r w:rsidR="0098184C" w:rsidRPr="4565EAA7">
        <w:rPr>
          <w:sz w:val="24"/>
          <w:szCs w:val="24"/>
        </w:rPr>
        <w:t>SPD</w:t>
      </w:r>
      <w:r w:rsidR="00AF7FA9" w:rsidRPr="4565EAA7">
        <w:rPr>
          <w:sz w:val="24"/>
          <w:szCs w:val="24"/>
        </w:rPr>
        <w:t>:</w:t>
      </w:r>
      <w:r w:rsidR="00F52338" w:rsidRPr="4565EAA7">
        <w:rPr>
          <w:sz w:val="24"/>
          <w:szCs w:val="24"/>
        </w:rPr>
        <w:t xml:space="preserve"> </w:t>
      </w:r>
      <w:r w:rsidR="16003680" w:rsidRPr="4565EAA7">
        <w:rPr>
          <w:sz w:val="24"/>
          <w:szCs w:val="24"/>
        </w:rPr>
        <w:t xml:space="preserve">February </w:t>
      </w:r>
      <w:r w:rsidR="00AF7FA9" w:rsidRPr="4565EAA7">
        <w:rPr>
          <w:sz w:val="24"/>
          <w:szCs w:val="24"/>
        </w:rPr>
        <w:t>202</w:t>
      </w:r>
      <w:r w:rsidR="00815DB9" w:rsidRPr="4565EAA7">
        <w:rPr>
          <w:sz w:val="24"/>
          <w:szCs w:val="24"/>
        </w:rPr>
        <w:t>3</w:t>
      </w:r>
    </w:p>
    <w:p w14:paraId="4C58F90D" w14:textId="22FDCD15" w:rsidR="005968D6" w:rsidRPr="0084176A" w:rsidRDefault="005968D6" w:rsidP="00D72AAB">
      <w:pPr>
        <w:pStyle w:val="ListParagraph"/>
        <w:numPr>
          <w:ilvl w:val="0"/>
          <w:numId w:val="10"/>
        </w:numPr>
        <w:jc w:val="both"/>
        <w:rPr>
          <w:sz w:val="24"/>
          <w:szCs w:val="24"/>
        </w:rPr>
      </w:pPr>
      <w:r w:rsidRPr="4565EAA7">
        <w:rPr>
          <w:sz w:val="24"/>
          <w:szCs w:val="24"/>
        </w:rPr>
        <w:t>Consultation Period</w:t>
      </w:r>
      <w:r w:rsidR="00AF7FA9" w:rsidRPr="4565EAA7">
        <w:rPr>
          <w:sz w:val="24"/>
          <w:szCs w:val="24"/>
        </w:rPr>
        <w:t xml:space="preserve">: </w:t>
      </w:r>
      <w:r w:rsidR="19757F34" w:rsidRPr="3775FE03">
        <w:rPr>
          <w:sz w:val="24"/>
          <w:szCs w:val="24"/>
        </w:rPr>
        <w:t>February</w:t>
      </w:r>
      <w:r w:rsidR="00AF7FA9" w:rsidRPr="4565EAA7">
        <w:rPr>
          <w:sz w:val="24"/>
          <w:szCs w:val="24"/>
        </w:rPr>
        <w:t xml:space="preserve"> – </w:t>
      </w:r>
      <w:r w:rsidR="0064331C" w:rsidRPr="4565EAA7">
        <w:rPr>
          <w:sz w:val="24"/>
          <w:szCs w:val="24"/>
        </w:rPr>
        <w:t>March</w:t>
      </w:r>
      <w:r w:rsidR="187659E2" w:rsidRPr="4565EAA7">
        <w:rPr>
          <w:sz w:val="24"/>
          <w:szCs w:val="24"/>
        </w:rPr>
        <w:t>/April</w:t>
      </w:r>
      <w:r w:rsidR="0064331C" w:rsidRPr="4565EAA7">
        <w:rPr>
          <w:sz w:val="24"/>
          <w:szCs w:val="24"/>
        </w:rPr>
        <w:t xml:space="preserve"> </w:t>
      </w:r>
      <w:r w:rsidR="00AF7FA9" w:rsidRPr="4565EAA7">
        <w:rPr>
          <w:sz w:val="24"/>
          <w:szCs w:val="24"/>
        </w:rPr>
        <w:t>2023</w:t>
      </w:r>
    </w:p>
    <w:p w14:paraId="2B6B7F0F" w14:textId="140EED57" w:rsidR="005968D6" w:rsidRPr="0084176A" w:rsidRDefault="005968D6" w:rsidP="00D72AAB">
      <w:pPr>
        <w:pStyle w:val="ListParagraph"/>
        <w:numPr>
          <w:ilvl w:val="0"/>
          <w:numId w:val="10"/>
        </w:numPr>
        <w:jc w:val="both"/>
        <w:rPr>
          <w:sz w:val="24"/>
          <w:szCs w:val="24"/>
        </w:rPr>
      </w:pPr>
      <w:r w:rsidRPr="4565EAA7">
        <w:rPr>
          <w:sz w:val="24"/>
          <w:szCs w:val="24"/>
        </w:rPr>
        <w:t xml:space="preserve">Report back to </w:t>
      </w:r>
      <w:r w:rsidR="00412D87" w:rsidRPr="4565EAA7">
        <w:rPr>
          <w:sz w:val="24"/>
          <w:szCs w:val="24"/>
        </w:rPr>
        <w:t>Planning Policy Advisory Panel</w:t>
      </w:r>
      <w:r w:rsidR="00AF7FA9" w:rsidRPr="4565EAA7">
        <w:rPr>
          <w:sz w:val="24"/>
          <w:szCs w:val="24"/>
        </w:rPr>
        <w:t xml:space="preserve">: </w:t>
      </w:r>
      <w:r w:rsidR="15213A55" w:rsidRPr="3775FE03">
        <w:rPr>
          <w:sz w:val="24"/>
          <w:szCs w:val="24"/>
        </w:rPr>
        <w:t>April</w:t>
      </w:r>
      <w:r w:rsidR="0064331C" w:rsidRPr="4565EAA7">
        <w:rPr>
          <w:sz w:val="24"/>
          <w:szCs w:val="24"/>
        </w:rPr>
        <w:t xml:space="preserve"> </w:t>
      </w:r>
      <w:r w:rsidR="00AF7FA9" w:rsidRPr="4565EAA7">
        <w:rPr>
          <w:sz w:val="24"/>
          <w:szCs w:val="24"/>
        </w:rPr>
        <w:t>2023</w:t>
      </w:r>
    </w:p>
    <w:p w14:paraId="13DD36B6" w14:textId="2F398520" w:rsidR="00412D87" w:rsidRPr="0084176A" w:rsidRDefault="00412D87" w:rsidP="00D72AAB">
      <w:pPr>
        <w:pStyle w:val="ListParagraph"/>
        <w:numPr>
          <w:ilvl w:val="0"/>
          <w:numId w:val="10"/>
        </w:numPr>
        <w:jc w:val="both"/>
        <w:rPr>
          <w:sz w:val="24"/>
          <w:szCs w:val="24"/>
        </w:rPr>
      </w:pPr>
      <w:r w:rsidRPr="4565EAA7">
        <w:rPr>
          <w:sz w:val="24"/>
          <w:szCs w:val="24"/>
        </w:rPr>
        <w:t xml:space="preserve">Cabinet </w:t>
      </w:r>
      <w:r w:rsidR="00FA0250" w:rsidRPr="4565EAA7">
        <w:rPr>
          <w:sz w:val="24"/>
          <w:szCs w:val="24"/>
        </w:rPr>
        <w:t>Approval to Adopt</w:t>
      </w:r>
      <w:r w:rsidR="0098184C" w:rsidRPr="4565EAA7">
        <w:rPr>
          <w:sz w:val="24"/>
          <w:szCs w:val="24"/>
        </w:rPr>
        <w:t xml:space="preserve"> the SPD</w:t>
      </w:r>
      <w:r w:rsidR="00AF7FA9" w:rsidRPr="4565EAA7">
        <w:rPr>
          <w:sz w:val="24"/>
          <w:szCs w:val="24"/>
        </w:rPr>
        <w:t xml:space="preserve">: </w:t>
      </w:r>
      <w:r w:rsidR="2DDA11F5" w:rsidRPr="3775FE03">
        <w:rPr>
          <w:sz w:val="24"/>
          <w:szCs w:val="24"/>
        </w:rPr>
        <w:t>May</w:t>
      </w:r>
      <w:r w:rsidR="0064331C" w:rsidRPr="4565EAA7">
        <w:rPr>
          <w:sz w:val="24"/>
          <w:szCs w:val="24"/>
        </w:rPr>
        <w:t xml:space="preserve"> </w:t>
      </w:r>
      <w:r w:rsidR="00AF7FA9" w:rsidRPr="4565EAA7">
        <w:rPr>
          <w:sz w:val="24"/>
          <w:szCs w:val="24"/>
        </w:rPr>
        <w:t>2023</w:t>
      </w:r>
    </w:p>
    <w:p w14:paraId="132FEFF2" w14:textId="20F58072" w:rsidR="00FA0250" w:rsidRDefault="00FA0250" w:rsidP="00D72AAB">
      <w:pPr>
        <w:jc w:val="both"/>
        <w:rPr>
          <w:szCs w:val="24"/>
        </w:rPr>
      </w:pPr>
    </w:p>
    <w:p w14:paraId="406AE84F" w14:textId="2130DFCF" w:rsidR="00A94092" w:rsidRDefault="3DB5FA68" w:rsidP="00F90DA7">
      <w:pPr>
        <w:ind w:left="709" w:hanging="709"/>
        <w:jc w:val="both"/>
      </w:pPr>
      <w:r>
        <w:t>2.2</w:t>
      </w:r>
      <w:r>
        <w:tab/>
        <w:t xml:space="preserve">The </w:t>
      </w:r>
      <w:r w:rsidR="7F39EDFB">
        <w:t xml:space="preserve">draft </w:t>
      </w:r>
      <w:r w:rsidR="004F6EEB">
        <w:t xml:space="preserve">SPD </w:t>
      </w:r>
      <w:r w:rsidR="6E3EF758">
        <w:t xml:space="preserve">attached at Appendix 1 is the initial </w:t>
      </w:r>
      <w:r w:rsidR="2FD3B912">
        <w:t>draft for consideration by the Panel</w:t>
      </w:r>
      <w:r w:rsidR="0632CDE7">
        <w:t>; as a document it continues to evolve as</w:t>
      </w:r>
      <w:r w:rsidR="059893FA">
        <w:t xml:space="preserve"> the approach, terminology and content</w:t>
      </w:r>
      <w:r w:rsidR="172E3D0C">
        <w:t xml:space="preserve"> / images</w:t>
      </w:r>
      <w:r w:rsidR="059893FA">
        <w:t xml:space="preserve"> </w:t>
      </w:r>
      <w:r w:rsidR="5B68EE09">
        <w:t>/ diagrams are</w:t>
      </w:r>
      <w:r w:rsidR="059893FA">
        <w:t xml:space="preserve"> </w:t>
      </w:r>
      <w:r w:rsidR="00333AB9">
        <w:t>finalised</w:t>
      </w:r>
      <w:r w:rsidR="26BE17C5">
        <w:t>.</w:t>
      </w:r>
      <w:r w:rsidR="4EB14D6B">
        <w:t xml:space="preserve"> </w:t>
      </w:r>
      <w:r w:rsidR="53733FFE">
        <w:t xml:space="preserve">The document will be further reviewed for internal </w:t>
      </w:r>
      <w:r w:rsidR="25291208">
        <w:t>consistency</w:t>
      </w:r>
      <w:r w:rsidR="53733FFE">
        <w:t xml:space="preserve"> with respect to </w:t>
      </w:r>
      <w:r w:rsidR="01ED7D47">
        <w:t>terminology / diagrams and the like</w:t>
      </w:r>
      <w:r w:rsidR="2BA3DB50">
        <w:t>, as well as reducing any duplication.</w:t>
      </w:r>
    </w:p>
    <w:p w14:paraId="574AB51E" w14:textId="77777777" w:rsidR="00D32E39" w:rsidRPr="003F382E" w:rsidRDefault="00D32E39" w:rsidP="00F90DA7">
      <w:pPr>
        <w:ind w:left="709" w:hanging="709"/>
        <w:jc w:val="both"/>
      </w:pPr>
    </w:p>
    <w:p w14:paraId="63803C30" w14:textId="2BBF69E4" w:rsidR="00E743C1" w:rsidRPr="003F382E" w:rsidRDefault="00E743C1" w:rsidP="00D72AAB">
      <w:pPr>
        <w:pStyle w:val="Heading2"/>
        <w:keepNext/>
        <w:spacing w:before="240"/>
        <w:jc w:val="both"/>
        <w:rPr>
          <w:rFonts w:ascii="Arial" w:hAnsi="Arial"/>
          <w:sz w:val="28"/>
          <w:szCs w:val="28"/>
        </w:rPr>
      </w:pPr>
      <w:r>
        <w:rPr>
          <w:rFonts w:ascii="Arial" w:hAnsi="Arial"/>
          <w:sz w:val="28"/>
          <w:szCs w:val="28"/>
        </w:rPr>
        <w:t>3</w:t>
      </w:r>
      <w:r w:rsidRPr="003F382E">
        <w:rPr>
          <w:rFonts w:ascii="Arial" w:hAnsi="Arial"/>
          <w:sz w:val="28"/>
          <w:szCs w:val="28"/>
        </w:rPr>
        <w:t>.0</w:t>
      </w:r>
      <w:r w:rsidRPr="003F382E">
        <w:rPr>
          <w:rFonts w:ascii="Arial" w:hAnsi="Arial"/>
          <w:sz w:val="28"/>
          <w:szCs w:val="28"/>
        </w:rPr>
        <w:tab/>
      </w:r>
      <w:r w:rsidR="00D21969">
        <w:rPr>
          <w:rFonts w:ascii="Arial" w:hAnsi="Arial"/>
          <w:sz w:val="28"/>
          <w:szCs w:val="28"/>
        </w:rPr>
        <w:t>Evidence Base</w:t>
      </w:r>
    </w:p>
    <w:p w14:paraId="4991F420" w14:textId="77777777" w:rsidR="00E743C1" w:rsidRPr="003F382E" w:rsidRDefault="00E743C1" w:rsidP="00D72AAB">
      <w:pPr>
        <w:keepNext/>
        <w:jc w:val="both"/>
        <w:rPr>
          <w:rFonts w:cs="Arial"/>
          <w:szCs w:val="24"/>
          <w:lang w:eastAsia="en-GB"/>
        </w:rPr>
      </w:pPr>
    </w:p>
    <w:p w14:paraId="7F4F3EAC" w14:textId="36D9D1E6" w:rsidR="00E743C1" w:rsidRDefault="33573820" w:rsidP="11CE1E5C">
      <w:pPr>
        <w:ind w:left="720" w:hanging="720"/>
        <w:jc w:val="both"/>
      </w:pPr>
      <w:r>
        <w:t>3</w:t>
      </w:r>
      <w:r w:rsidR="777612D5">
        <w:t>.1</w:t>
      </w:r>
      <w:r>
        <w:tab/>
      </w:r>
      <w:r w:rsidR="777612D5">
        <w:t xml:space="preserve">Following the agreement </w:t>
      </w:r>
      <w:r w:rsidR="004D3FB3">
        <w:t>of the</w:t>
      </w:r>
      <w:r w:rsidR="23F48129">
        <w:t xml:space="preserve"> Planning Policy Advisory Panel</w:t>
      </w:r>
      <w:r w:rsidR="004D3FB3">
        <w:t>.</w:t>
      </w:r>
      <w:r w:rsidR="777612D5">
        <w:t>to progress with a</w:t>
      </w:r>
      <w:r w:rsidR="004D3FB3">
        <w:t xml:space="preserve"> supplementary planning document to provide guidance </w:t>
      </w:r>
      <w:r w:rsidR="00604E19">
        <w:t>on tall buildings</w:t>
      </w:r>
      <w:r w:rsidR="777612D5">
        <w:t>, based on the themes, objectives, and principles presented previously to PPAP (3</w:t>
      </w:r>
      <w:r w:rsidR="777612D5" w:rsidRPr="42D6601E">
        <w:rPr>
          <w:vertAlign w:val="superscript"/>
        </w:rPr>
        <w:t>rd</w:t>
      </w:r>
      <w:r w:rsidR="777612D5">
        <w:t xml:space="preserve"> October 2022), officers have progressed with the drafting of the SPD</w:t>
      </w:r>
      <w:r w:rsidR="645BF0D8">
        <w:t xml:space="preserve"> based on these and the relevant evidence base</w:t>
      </w:r>
      <w:r w:rsidR="777612D5">
        <w:t xml:space="preserve">. </w:t>
      </w:r>
    </w:p>
    <w:p w14:paraId="5AD0F801" w14:textId="1DC728EA" w:rsidR="00D21969" w:rsidRDefault="00D21969" w:rsidP="00D72AAB">
      <w:pPr>
        <w:ind w:left="720" w:hanging="720"/>
        <w:jc w:val="both"/>
      </w:pPr>
    </w:p>
    <w:p w14:paraId="1734D183" w14:textId="062D325B" w:rsidR="00B150D5" w:rsidRDefault="33573820" w:rsidP="11CE1E5C">
      <w:pPr>
        <w:ind w:left="720" w:hanging="720"/>
        <w:jc w:val="both"/>
      </w:pPr>
      <w:r>
        <w:t>3</w:t>
      </w:r>
      <w:r w:rsidR="777612D5">
        <w:t>.2</w:t>
      </w:r>
      <w:r>
        <w:tab/>
      </w:r>
      <w:r w:rsidR="1F886E2F">
        <w:t>The drafting of the SPD</w:t>
      </w:r>
      <w:r w:rsidR="03124587">
        <w:t xml:space="preserve"> follows </w:t>
      </w:r>
      <w:r w:rsidR="0AFD5A0C">
        <w:t>relevant good practice guidance, and the Harrow</w:t>
      </w:r>
      <w:r w:rsidR="3E9A12E1">
        <w:t xml:space="preserve"> </w:t>
      </w:r>
      <w:r w:rsidR="0E17128D">
        <w:t>C</w:t>
      </w:r>
      <w:r w:rsidR="46B6A25D">
        <w:t xml:space="preserve">haracterisation and </w:t>
      </w:r>
      <w:r w:rsidR="0E17128D">
        <w:t>T</w:t>
      </w:r>
      <w:r w:rsidR="46B6A25D">
        <w:t xml:space="preserve">all </w:t>
      </w:r>
      <w:r w:rsidR="0E17128D">
        <w:t>B</w:t>
      </w:r>
      <w:r w:rsidR="46B6A25D">
        <w:t>uilding study, which was completed by Allies &amp; Morrisons LLP in August 2021.</w:t>
      </w:r>
      <w:r w:rsidR="03124587">
        <w:t xml:space="preserve"> </w:t>
      </w:r>
      <w:r w:rsidR="0E17128D">
        <w:t>The study was split into two main workstreams, with a complete character assessment of the entire borough, and secondly a specific tall building guidance element.</w:t>
      </w:r>
    </w:p>
    <w:p w14:paraId="0FE3FADB" w14:textId="77777777" w:rsidR="002A34B0" w:rsidRDefault="002A34B0" w:rsidP="00D72AAB">
      <w:pPr>
        <w:ind w:left="720" w:hanging="720"/>
        <w:jc w:val="both"/>
      </w:pPr>
    </w:p>
    <w:p w14:paraId="2FFA9154" w14:textId="77777777" w:rsidR="00EB2AF5" w:rsidRPr="003F382E" w:rsidRDefault="00EB2AF5" w:rsidP="00D72AAB">
      <w:pPr>
        <w:keepNext/>
        <w:ind w:firstLine="720"/>
        <w:jc w:val="both"/>
        <w:rPr>
          <w:rFonts w:cstheme="minorHAnsi"/>
          <w:u w:val="single"/>
        </w:rPr>
      </w:pPr>
      <w:r w:rsidRPr="003F382E">
        <w:rPr>
          <w:rFonts w:cstheme="minorHAnsi"/>
          <w:u w:val="single"/>
        </w:rPr>
        <w:t>Characterisation Study</w:t>
      </w:r>
    </w:p>
    <w:p w14:paraId="3AA61A49" w14:textId="77777777" w:rsidR="00EB2AF5" w:rsidRPr="003F382E" w:rsidRDefault="00EB2AF5" w:rsidP="00D72AAB">
      <w:pPr>
        <w:keepNext/>
        <w:ind w:firstLine="720"/>
        <w:jc w:val="both"/>
        <w:rPr>
          <w:rFonts w:cstheme="minorHAnsi"/>
          <w:u w:val="single"/>
        </w:rPr>
      </w:pPr>
    </w:p>
    <w:p w14:paraId="114B2309" w14:textId="0B386E04" w:rsidR="00EB2AF5" w:rsidRPr="003F382E" w:rsidRDefault="00597EA8" w:rsidP="00D72AAB">
      <w:pPr>
        <w:autoSpaceDE w:val="0"/>
        <w:autoSpaceDN w:val="0"/>
        <w:adjustRightInd w:val="0"/>
        <w:ind w:left="720" w:hanging="720"/>
        <w:jc w:val="both"/>
        <w:rPr>
          <w:rFonts w:cstheme="minorBidi"/>
        </w:rPr>
      </w:pPr>
      <w:r w:rsidRPr="68F9D7E0">
        <w:rPr>
          <w:rFonts w:cstheme="minorBidi"/>
        </w:rPr>
        <w:t>3.3</w:t>
      </w:r>
      <w:r w:rsidR="00EB2AF5">
        <w:tab/>
      </w:r>
      <w:r w:rsidR="00EB2AF5" w:rsidRPr="68F9D7E0">
        <w:rPr>
          <w:rFonts w:cstheme="minorBidi"/>
        </w:rPr>
        <w:t xml:space="preserve">The Characterisation Study in assessing the borough wide context makes it clear that within suburban Harrow (outside of town centres, neighbourhood parades, growth areas), the prevailing character is </w:t>
      </w:r>
      <w:bookmarkStart w:id="6" w:name="_Int_K2X7c0iD"/>
      <w:r w:rsidR="00EB2AF5" w:rsidRPr="68F9D7E0">
        <w:rPr>
          <w:rFonts w:cstheme="minorBidi"/>
        </w:rPr>
        <w:t>largely between</w:t>
      </w:r>
      <w:bookmarkEnd w:id="6"/>
      <w:r w:rsidR="00EB2AF5" w:rsidRPr="68F9D7E0">
        <w:rPr>
          <w:rFonts w:cstheme="minorBidi"/>
        </w:rPr>
        <w:t xml:space="preserve"> 2 to 3 storeys. Building heights are greater in town centres, namely in Harrow &amp; Wealdstone town centre that has seen recent mixed use and residential schemes over 10 storeys. Non-residential buildings such as institutions, big box retails, and industrial only make a small proportion of the building typologies across the borough.</w:t>
      </w:r>
    </w:p>
    <w:p w14:paraId="001EA99D" w14:textId="77777777" w:rsidR="00EB2AF5" w:rsidRDefault="00EB2AF5" w:rsidP="00D72AAB">
      <w:pPr>
        <w:ind w:left="720" w:hanging="720"/>
        <w:jc w:val="both"/>
      </w:pPr>
    </w:p>
    <w:p w14:paraId="22290054" w14:textId="77777777" w:rsidR="007E2A4C" w:rsidRPr="003F382E" w:rsidRDefault="007E2A4C" w:rsidP="00D72AAB">
      <w:pPr>
        <w:keepNext/>
        <w:ind w:firstLine="720"/>
        <w:jc w:val="both"/>
        <w:rPr>
          <w:rFonts w:cstheme="minorHAnsi"/>
          <w:u w:val="single"/>
        </w:rPr>
      </w:pPr>
      <w:r w:rsidRPr="003F382E">
        <w:rPr>
          <w:rFonts w:cstheme="minorHAnsi"/>
          <w:u w:val="single"/>
        </w:rPr>
        <w:t>Tall Buildings</w:t>
      </w:r>
    </w:p>
    <w:p w14:paraId="19FE5B9A" w14:textId="77777777" w:rsidR="007E2A4C" w:rsidRPr="003F382E" w:rsidRDefault="007E2A4C" w:rsidP="00D72AAB">
      <w:pPr>
        <w:keepNext/>
        <w:ind w:firstLine="720"/>
        <w:jc w:val="both"/>
        <w:rPr>
          <w:rFonts w:cstheme="minorHAnsi"/>
          <w:u w:val="single"/>
        </w:rPr>
      </w:pPr>
    </w:p>
    <w:p w14:paraId="4E0CE88E" w14:textId="415AAF43" w:rsidR="007E2A4C" w:rsidRPr="004A1284" w:rsidRDefault="00597EA8" w:rsidP="00D72AAB">
      <w:pPr>
        <w:autoSpaceDE w:val="0"/>
        <w:autoSpaceDN w:val="0"/>
        <w:adjustRightInd w:val="0"/>
        <w:ind w:left="720" w:hanging="720"/>
        <w:jc w:val="both"/>
        <w:rPr>
          <w:rFonts w:cs="AlliesMorrisonSerifaND"/>
          <w:color w:val="282829"/>
          <w:sz w:val="18"/>
          <w:szCs w:val="18"/>
          <w:highlight w:val="yellow"/>
        </w:rPr>
      </w:pPr>
      <w:r>
        <w:t>3.4</w:t>
      </w:r>
      <w:r w:rsidR="007E2A4C" w:rsidRPr="003F382E">
        <w:tab/>
      </w:r>
      <w:r w:rsidR="007E2A4C" w:rsidRPr="005D0392">
        <w:t xml:space="preserve">Specific to tall buildings, the study identifies a methodology which enabled a context-based definition of tall buildings, consistent with Historic England Advice Note 4 and London Plan Policy D9: Tall Buildings. As noted above, </w:t>
      </w:r>
      <w:r w:rsidR="007E2A4C" w:rsidRPr="005D0392">
        <w:lastRenderedPageBreak/>
        <w:t xml:space="preserve">Policy D9 of the London Plan (2021) sets out that in defining tall buildings </w:t>
      </w:r>
      <w:r w:rsidR="007E2A4C" w:rsidRPr="005D0392">
        <w:rPr>
          <w:i/>
          <w:iCs/>
        </w:rPr>
        <w:t>‘the height of which will vary between and within different parts of London but should not be less than 6 storeys or 18 metres measured from ground to the floor level of the uppermost storey’.</w:t>
      </w:r>
      <w:r w:rsidR="007E2A4C" w:rsidRPr="005D0392">
        <w:t xml:space="preserve"> Notwithstanding this, the prevailing character of Harrow in terms of building heights is </w:t>
      </w:r>
      <w:bookmarkStart w:id="7" w:name="_Int_Ru29rvVa"/>
      <w:r w:rsidR="007E2A4C" w:rsidRPr="005D0392">
        <w:t>largely between</w:t>
      </w:r>
      <w:bookmarkEnd w:id="7"/>
      <w:r w:rsidR="007E2A4C" w:rsidRPr="005D0392">
        <w:t xml:space="preserve"> 2 – 3 storeys, with b</w:t>
      </w:r>
      <w:r w:rsidR="007E2A4C" w:rsidRPr="005D0392">
        <w:rPr>
          <w:rFonts w:cs="AlliesMorrisonSerifaND"/>
        </w:rPr>
        <w:t xml:space="preserve">uilding heights greater in town centres, namely in Harrow &amp; Wealdstone town centres that has seen recent mixed use and residential schemes over 10 storeys. </w:t>
      </w:r>
    </w:p>
    <w:p w14:paraId="60425F9C" w14:textId="77777777" w:rsidR="007E2A4C" w:rsidRPr="004A1284" w:rsidRDefault="007E2A4C" w:rsidP="00D72AAB">
      <w:pPr>
        <w:autoSpaceDE w:val="0"/>
        <w:autoSpaceDN w:val="0"/>
        <w:adjustRightInd w:val="0"/>
        <w:jc w:val="both"/>
        <w:rPr>
          <w:highlight w:val="yellow"/>
        </w:rPr>
      </w:pPr>
    </w:p>
    <w:p w14:paraId="25850C8D" w14:textId="4D05AEFB" w:rsidR="008A19B2" w:rsidRPr="00C71A54" w:rsidRDefault="00597EA8" w:rsidP="00D72AAB">
      <w:pPr>
        <w:keepNext/>
        <w:ind w:left="720" w:hanging="720"/>
        <w:jc w:val="both"/>
      </w:pPr>
      <w:r w:rsidRPr="00C71A54">
        <w:t>3.</w:t>
      </w:r>
      <w:r w:rsidR="004A1284" w:rsidRPr="00C71A54">
        <w:t>5</w:t>
      </w:r>
      <w:r w:rsidR="007E2A4C" w:rsidRPr="00C71A54">
        <w:tab/>
        <w:t xml:space="preserve">Building on from the setting the prevailing pattern of development in any one location, </w:t>
      </w:r>
      <w:r w:rsidR="00D345DE" w:rsidRPr="00C71A54">
        <w:t xml:space="preserve">the evidence base provides formulae </w:t>
      </w:r>
      <w:r w:rsidR="00717F64" w:rsidRPr="00C71A54">
        <w:t xml:space="preserve">(paragraph 5.4 below) </w:t>
      </w:r>
      <w:r w:rsidR="00D345DE" w:rsidRPr="00C71A54">
        <w:t>which will</w:t>
      </w:r>
      <w:r w:rsidR="00B64F3E" w:rsidRPr="00C71A54">
        <w:t xml:space="preserve"> assist in determining </w:t>
      </w:r>
      <w:r w:rsidR="00A37A63" w:rsidRPr="00C71A54">
        <w:t>if a building that is less than 6</w:t>
      </w:r>
      <w:r w:rsidR="00013448" w:rsidRPr="00C71A54">
        <w:t xml:space="preserve"> storeys / 18m in height) would be a contextually tall building within its location.</w:t>
      </w:r>
    </w:p>
    <w:p w14:paraId="20390952" w14:textId="77777777" w:rsidR="008A19B2" w:rsidRPr="00C71A54" w:rsidRDefault="008A19B2" w:rsidP="00D72AAB">
      <w:pPr>
        <w:keepNext/>
        <w:ind w:left="720" w:hanging="720"/>
        <w:jc w:val="both"/>
      </w:pPr>
    </w:p>
    <w:p w14:paraId="2A4A5E65" w14:textId="5230F3AF" w:rsidR="00D21969" w:rsidRDefault="00597EA8" w:rsidP="00D72AAB">
      <w:pPr>
        <w:ind w:left="720" w:hanging="720"/>
        <w:jc w:val="both"/>
      </w:pPr>
      <w:r w:rsidRPr="00C71A54">
        <w:t>3.</w:t>
      </w:r>
      <w:r w:rsidR="004A1284" w:rsidRPr="00C71A54">
        <w:t>6</w:t>
      </w:r>
      <w:r w:rsidR="007E2A4C" w:rsidRPr="00C71A54">
        <w:tab/>
        <w:t xml:space="preserve">The above approach </w:t>
      </w:r>
      <w:bookmarkStart w:id="8" w:name="_Int_1ZFBMpd7"/>
      <w:proofErr w:type="gramStart"/>
      <w:r w:rsidR="007E2A4C" w:rsidRPr="00C71A54">
        <w:t>is considered to be</w:t>
      </w:r>
      <w:bookmarkEnd w:id="8"/>
      <w:proofErr w:type="gramEnd"/>
      <w:r w:rsidR="007E2A4C" w:rsidRPr="00C71A54">
        <w:t xml:space="preserve"> consistent with the supporting text (to Policy D9 London Plan (2021)) within paragraph 3.9.3, which notes that ‘</w:t>
      </w:r>
      <w:r w:rsidR="007E2A4C" w:rsidRPr="00C71A54">
        <w:rPr>
          <w:i/>
          <w:iCs/>
        </w:rPr>
        <w:t>tall buildings are generally those that are substantially taller than their surroundings and cause a significant change to the skyline’.</w:t>
      </w:r>
      <w:r w:rsidR="007E2A4C" w:rsidRPr="00C71A54">
        <w:t xml:space="preserve"> Buildings across much of Harrow are 2 to 3 </w:t>
      </w:r>
      <w:proofErr w:type="spellStart"/>
      <w:r w:rsidR="007E2A4C" w:rsidRPr="00C71A54">
        <w:t>storeys</w:t>
      </w:r>
      <w:proofErr w:type="spellEnd"/>
      <w:r w:rsidR="007E2A4C" w:rsidRPr="00C71A54">
        <w:t xml:space="preserve"> in height, and within that context a building twice the height would be </w:t>
      </w:r>
      <w:bookmarkStart w:id="9" w:name="_Int_6sb3rNoH"/>
      <w:r w:rsidR="007E2A4C" w:rsidRPr="00C71A54">
        <w:t>substantially taller</w:t>
      </w:r>
      <w:bookmarkEnd w:id="9"/>
      <w:r w:rsidR="007E2A4C" w:rsidRPr="00C71A54">
        <w:t xml:space="preserve"> and make a </w:t>
      </w:r>
      <w:bookmarkStart w:id="10" w:name="_Int_3yeajc34"/>
      <w:r w:rsidR="007E2A4C" w:rsidRPr="00C71A54">
        <w:t>significant change</w:t>
      </w:r>
      <w:bookmarkEnd w:id="10"/>
      <w:r w:rsidR="007E2A4C" w:rsidRPr="00C71A54">
        <w:t xml:space="preserve"> to the skyline.</w:t>
      </w:r>
    </w:p>
    <w:p w14:paraId="183F7263" w14:textId="55140E44" w:rsidR="00C03553" w:rsidRPr="003F382E" w:rsidRDefault="00C03553" w:rsidP="00D72AAB">
      <w:pPr>
        <w:ind w:left="720" w:hanging="720"/>
        <w:jc w:val="both"/>
        <w:rPr>
          <w:rFonts w:cs="Arial"/>
          <w:szCs w:val="24"/>
          <w:lang w:eastAsia="en-GB"/>
        </w:rPr>
      </w:pPr>
    </w:p>
    <w:p w14:paraId="470B0F65" w14:textId="70FBA281" w:rsidR="00D21969" w:rsidRDefault="00597EA8" w:rsidP="00D72AAB">
      <w:pPr>
        <w:keepNext/>
        <w:jc w:val="both"/>
        <w:rPr>
          <w:rFonts w:cs="Arial"/>
          <w:b/>
          <w:bCs/>
          <w:sz w:val="28"/>
          <w:szCs w:val="28"/>
        </w:rPr>
      </w:pPr>
      <w:r>
        <w:rPr>
          <w:rFonts w:cs="Arial"/>
          <w:b/>
          <w:bCs/>
          <w:sz w:val="28"/>
          <w:szCs w:val="28"/>
        </w:rPr>
        <w:t>4</w:t>
      </w:r>
      <w:r w:rsidR="000728AA">
        <w:rPr>
          <w:rFonts w:cs="Arial"/>
          <w:b/>
          <w:bCs/>
          <w:sz w:val="28"/>
          <w:szCs w:val="28"/>
        </w:rPr>
        <w:t>.0</w:t>
      </w:r>
      <w:r w:rsidR="000728AA">
        <w:rPr>
          <w:rFonts w:cs="Arial"/>
          <w:b/>
          <w:bCs/>
          <w:sz w:val="28"/>
          <w:szCs w:val="28"/>
        </w:rPr>
        <w:tab/>
      </w:r>
      <w:r w:rsidR="00D21969">
        <w:rPr>
          <w:rFonts w:cs="Arial"/>
          <w:b/>
          <w:bCs/>
          <w:sz w:val="28"/>
          <w:szCs w:val="28"/>
        </w:rPr>
        <w:t xml:space="preserve">Informal Consultation </w:t>
      </w:r>
    </w:p>
    <w:p w14:paraId="3CE3182F" w14:textId="77777777" w:rsidR="00D21969" w:rsidRDefault="00D21969" w:rsidP="00D72AAB">
      <w:pPr>
        <w:keepNext/>
        <w:jc w:val="both"/>
        <w:rPr>
          <w:rFonts w:cs="Arial"/>
          <w:b/>
          <w:bCs/>
          <w:sz w:val="28"/>
          <w:szCs w:val="28"/>
        </w:rPr>
      </w:pPr>
    </w:p>
    <w:p w14:paraId="76F2D131" w14:textId="486CCB2F" w:rsidR="005E5480" w:rsidRPr="00597EA8" w:rsidRDefault="00597EA8" w:rsidP="00D72AAB">
      <w:pPr>
        <w:keepNext/>
        <w:ind w:left="720" w:hanging="720"/>
        <w:jc w:val="both"/>
        <w:rPr>
          <w:rFonts w:cs="Arial"/>
          <w:szCs w:val="24"/>
        </w:rPr>
      </w:pPr>
      <w:r w:rsidRPr="00597EA8">
        <w:rPr>
          <w:rFonts w:cs="Arial"/>
          <w:szCs w:val="24"/>
        </w:rPr>
        <w:t>4.1</w:t>
      </w:r>
      <w:r>
        <w:rPr>
          <w:rFonts w:cs="Arial"/>
          <w:szCs w:val="24"/>
        </w:rPr>
        <w:tab/>
      </w:r>
      <w:r w:rsidR="00EA2B16">
        <w:rPr>
          <w:rFonts w:cs="Arial"/>
          <w:szCs w:val="24"/>
        </w:rPr>
        <w:t xml:space="preserve">Throughout the drafting of the SPD, officers have engaged informally with </w:t>
      </w:r>
      <w:r w:rsidR="00EC673B">
        <w:rPr>
          <w:rFonts w:cs="Arial"/>
          <w:szCs w:val="24"/>
        </w:rPr>
        <w:t>key external and internal stakeholders</w:t>
      </w:r>
      <w:r w:rsidR="00F27C87">
        <w:rPr>
          <w:rFonts w:cs="Arial"/>
          <w:szCs w:val="24"/>
        </w:rPr>
        <w:t xml:space="preserve">, to ensure that </w:t>
      </w:r>
      <w:r w:rsidR="00E13EB7">
        <w:rPr>
          <w:rFonts w:cs="Arial"/>
          <w:szCs w:val="24"/>
        </w:rPr>
        <w:t xml:space="preserve">any key points would be able to be addressed at an early stage. </w:t>
      </w:r>
      <w:r w:rsidR="00F17254">
        <w:rPr>
          <w:rFonts w:cs="Arial"/>
          <w:szCs w:val="24"/>
        </w:rPr>
        <w:t xml:space="preserve">The consultation </w:t>
      </w:r>
      <w:r w:rsidR="00B0796F">
        <w:rPr>
          <w:rFonts w:cs="Arial"/>
          <w:szCs w:val="24"/>
        </w:rPr>
        <w:t xml:space="preserve">undertaken </w:t>
      </w:r>
      <w:r w:rsidR="00F17254">
        <w:rPr>
          <w:rFonts w:cs="Arial"/>
          <w:szCs w:val="24"/>
        </w:rPr>
        <w:t xml:space="preserve">to date </w:t>
      </w:r>
      <w:r w:rsidR="005924E8">
        <w:rPr>
          <w:rFonts w:cs="Arial"/>
          <w:szCs w:val="24"/>
        </w:rPr>
        <w:t xml:space="preserve">has been </w:t>
      </w:r>
      <w:r w:rsidR="00F17254">
        <w:rPr>
          <w:rFonts w:cs="Arial"/>
          <w:szCs w:val="24"/>
        </w:rPr>
        <w:t>informal</w:t>
      </w:r>
      <w:r w:rsidR="00B0796F">
        <w:rPr>
          <w:rFonts w:cs="Arial"/>
          <w:szCs w:val="24"/>
        </w:rPr>
        <w:t xml:space="preserve">, with </w:t>
      </w:r>
      <w:r w:rsidR="00497A35">
        <w:rPr>
          <w:rFonts w:cs="Arial"/>
          <w:szCs w:val="24"/>
        </w:rPr>
        <w:t>formal, wider consultation undertaken</w:t>
      </w:r>
      <w:r w:rsidR="00527D02">
        <w:rPr>
          <w:rFonts w:cs="Arial"/>
          <w:szCs w:val="24"/>
        </w:rPr>
        <w:t xml:space="preserve"> </w:t>
      </w:r>
      <w:r w:rsidR="00054773">
        <w:rPr>
          <w:rFonts w:cs="Arial"/>
          <w:szCs w:val="24"/>
        </w:rPr>
        <w:t xml:space="preserve">once </w:t>
      </w:r>
      <w:r w:rsidR="00527D02">
        <w:rPr>
          <w:rFonts w:cs="Arial"/>
          <w:szCs w:val="24"/>
        </w:rPr>
        <w:t xml:space="preserve">the drafting of the SPD has progressed </w:t>
      </w:r>
      <w:r w:rsidR="00054773">
        <w:rPr>
          <w:rFonts w:cs="Arial"/>
          <w:szCs w:val="24"/>
        </w:rPr>
        <w:t xml:space="preserve">to a point where it has been considered by Cabinet and agreed for formal </w:t>
      </w:r>
      <w:r w:rsidR="00836E18">
        <w:rPr>
          <w:rFonts w:cs="Arial"/>
          <w:szCs w:val="24"/>
        </w:rPr>
        <w:t>consultation</w:t>
      </w:r>
      <w:r w:rsidR="00497A35">
        <w:rPr>
          <w:rFonts w:cs="Arial"/>
          <w:szCs w:val="24"/>
        </w:rPr>
        <w:t>.</w:t>
      </w:r>
    </w:p>
    <w:p w14:paraId="0C044541" w14:textId="77777777" w:rsidR="005E5480" w:rsidRDefault="005E5480" w:rsidP="00D72AAB">
      <w:pPr>
        <w:keepNext/>
        <w:jc w:val="both"/>
        <w:rPr>
          <w:rFonts w:cs="Arial"/>
          <w:b/>
          <w:bCs/>
          <w:sz w:val="28"/>
          <w:szCs w:val="28"/>
        </w:rPr>
      </w:pPr>
    </w:p>
    <w:p w14:paraId="39485A3A" w14:textId="5C5034BE" w:rsidR="00A87F98" w:rsidRPr="00B03B69" w:rsidRDefault="00824DBB" w:rsidP="00D72AAB">
      <w:pPr>
        <w:keepNext/>
        <w:ind w:firstLine="720"/>
        <w:jc w:val="both"/>
        <w:rPr>
          <w:rFonts w:cs="Arial"/>
          <w:b/>
          <w:bCs/>
          <w:i/>
          <w:iCs/>
          <w:szCs w:val="24"/>
        </w:rPr>
      </w:pPr>
      <w:r w:rsidRPr="00B03B69">
        <w:rPr>
          <w:rFonts w:cs="Arial"/>
          <w:b/>
          <w:bCs/>
          <w:i/>
          <w:iCs/>
          <w:szCs w:val="24"/>
        </w:rPr>
        <w:t xml:space="preserve">External </w:t>
      </w:r>
      <w:r w:rsidR="009D4DCC" w:rsidRPr="00B03B69">
        <w:rPr>
          <w:rFonts w:cs="Arial"/>
          <w:b/>
          <w:bCs/>
          <w:i/>
          <w:iCs/>
          <w:szCs w:val="24"/>
        </w:rPr>
        <w:t>Cons</w:t>
      </w:r>
      <w:r w:rsidR="00E57389" w:rsidRPr="00B03B69">
        <w:rPr>
          <w:rFonts w:cs="Arial"/>
          <w:b/>
          <w:bCs/>
          <w:i/>
          <w:iCs/>
          <w:szCs w:val="24"/>
        </w:rPr>
        <w:t>ultation</w:t>
      </w:r>
    </w:p>
    <w:p w14:paraId="6F365891" w14:textId="77777777" w:rsidR="0049216A" w:rsidRPr="003F382E" w:rsidRDefault="0049216A" w:rsidP="00D72AAB">
      <w:pPr>
        <w:keepNext/>
        <w:jc w:val="both"/>
        <w:rPr>
          <w:b/>
          <w:bCs/>
        </w:rPr>
      </w:pPr>
    </w:p>
    <w:p w14:paraId="0D3F41D5" w14:textId="74CB7D05" w:rsidR="00824DBB" w:rsidRPr="00B0009F" w:rsidRDefault="00824DBB" w:rsidP="00D72AAB">
      <w:pPr>
        <w:ind w:firstLine="720"/>
        <w:jc w:val="both"/>
        <w:rPr>
          <w:b/>
          <w:bCs/>
        </w:rPr>
      </w:pPr>
      <w:r w:rsidRPr="00B0009F">
        <w:rPr>
          <w:b/>
          <w:bCs/>
        </w:rPr>
        <w:t>Greater London Authority (London Plan Team)</w:t>
      </w:r>
    </w:p>
    <w:p w14:paraId="29C30BC6" w14:textId="77777777" w:rsidR="00824DBB" w:rsidRDefault="00824DBB" w:rsidP="00D72AAB">
      <w:pPr>
        <w:jc w:val="both"/>
      </w:pPr>
    </w:p>
    <w:p w14:paraId="1251A9C5" w14:textId="6DBDC942" w:rsidR="00757885" w:rsidRDefault="00EC5A19" w:rsidP="00D72AAB">
      <w:pPr>
        <w:ind w:left="720" w:hanging="720"/>
        <w:jc w:val="both"/>
      </w:pPr>
      <w:r>
        <w:t>4.2</w:t>
      </w:r>
      <w:r>
        <w:tab/>
      </w:r>
      <w:r w:rsidR="002039AB">
        <w:t>The Greater London Authority</w:t>
      </w:r>
      <w:r w:rsidR="008318D6">
        <w:t xml:space="preserve"> (GLA)</w:t>
      </w:r>
      <w:r w:rsidR="002039AB">
        <w:t xml:space="preserve"> consti</w:t>
      </w:r>
      <w:r w:rsidR="000A356E">
        <w:t>t</w:t>
      </w:r>
      <w:r w:rsidR="002039AB">
        <w:t>ute a st</w:t>
      </w:r>
      <w:r w:rsidR="000A356E">
        <w:t>at</w:t>
      </w:r>
      <w:r w:rsidR="002039AB">
        <w:t xml:space="preserve">utory consultee for </w:t>
      </w:r>
      <w:r w:rsidR="000A356E">
        <w:t>new planning documents</w:t>
      </w:r>
      <w:r w:rsidR="00FC5D29">
        <w:t xml:space="preserve"> being produced by Local Planning Authorities. </w:t>
      </w:r>
      <w:r w:rsidR="008276D9">
        <w:t>Harrow o</w:t>
      </w:r>
      <w:r w:rsidR="00FC5D29">
        <w:t xml:space="preserve">fficers engaged </w:t>
      </w:r>
      <w:r w:rsidR="008276D9">
        <w:t>informally</w:t>
      </w:r>
      <w:r w:rsidR="00FC5D29">
        <w:t xml:space="preserve"> </w:t>
      </w:r>
      <w:r w:rsidR="008276D9">
        <w:t>with GLA officers</w:t>
      </w:r>
      <w:r w:rsidR="00141401">
        <w:t xml:space="preserve"> on the </w:t>
      </w:r>
      <w:bookmarkStart w:id="11" w:name="_Int_uneABJOn"/>
      <w:proofErr w:type="gramStart"/>
      <w:r w:rsidR="00141401">
        <w:t>10</w:t>
      </w:r>
      <w:r w:rsidR="00141401" w:rsidRPr="42D6601E">
        <w:rPr>
          <w:vertAlign w:val="superscript"/>
        </w:rPr>
        <w:t>th</w:t>
      </w:r>
      <w:bookmarkEnd w:id="11"/>
      <w:proofErr w:type="gramEnd"/>
      <w:r w:rsidR="00141401">
        <w:t xml:space="preserve"> October 2022</w:t>
      </w:r>
      <w:r w:rsidR="008276D9">
        <w:t xml:space="preserve"> </w:t>
      </w:r>
      <w:r w:rsidR="00FC5D29">
        <w:t xml:space="preserve">to </w:t>
      </w:r>
      <w:r w:rsidR="008276D9">
        <w:t xml:space="preserve">set out the </w:t>
      </w:r>
      <w:r w:rsidR="00B857EF">
        <w:t xml:space="preserve">proposed </w:t>
      </w:r>
      <w:r w:rsidR="008276D9">
        <w:t xml:space="preserve">approach </w:t>
      </w:r>
      <w:r w:rsidR="00B857EF">
        <w:t>to progressing the</w:t>
      </w:r>
      <w:r w:rsidR="00DB4C12">
        <w:t xml:space="preserve"> SPD</w:t>
      </w:r>
      <w:r w:rsidR="00757885">
        <w:t xml:space="preserve">, as </w:t>
      </w:r>
      <w:r w:rsidR="009C46A8">
        <w:t>advised at</w:t>
      </w:r>
      <w:r w:rsidR="00757885">
        <w:t xml:space="preserve"> the Planning Policy Advisory Panel on 3</w:t>
      </w:r>
      <w:r w:rsidR="00757885" w:rsidRPr="42D6601E">
        <w:rPr>
          <w:vertAlign w:val="superscript"/>
        </w:rPr>
        <w:t>rd</w:t>
      </w:r>
      <w:r w:rsidR="00757885">
        <w:t xml:space="preserve"> October 2022.</w:t>
      </w:r>
      <w:r w:rsidR="009D1562">
        <w:t xml:space="preserve"> GLA officers </w:t>
      </w:r>
      <w:r w:rsidR="001D72B6">
        <w:t>were</w:t>
      </w:r>
      <w:r w:rsidR="009D1562">
        <w:t xml:space="preserve"> able to provide</w:t>
      </w:r>
      <w:r w:rsidR="00C70102">
        <w:t xml:space="preserve"> feedback in </w:t>
      </w:r>
      <w:r w:rsidR="00020C59">
        <w:t>relation</w:t>
      </w:r>
      <w:r w:rsidR="00C70102">
        <w:t xml:space="preserve"> to, among other things, the compliance of </w:t>
      </w:r>
      <w:r w:rsidR="00D43F6B">
        <w:t xml:space="preserve">the proposed approach to the </w:t>
      </w:r>
      <w:r w:rsidR="00C70102">
        <w:t xml:space="preserve">SPD </w:t>
      </w:r>
      <w:r w:rsidR="00D43F6B">
        <w:t xml:space="preserve">with </w:t>
      </w:r>
      <w:r w:rsidR="00C70102">
        <w:t xml:space="preserve">the London Plan (2021) and </w:t>
      </w:r>
      <w:r w:rsidR="00AB1941">
        <w:t>a</w:t>
      </w:r>
      <w:r w:rsidR="009A5A9D">
        <w:t>ssociated</w:t>
      </w:r>
      <w:r w:rsidR="00C70102">
        <w:t xml:space="preserve"> </w:t>
      </w:r>
      <w:r w:rsidR="00D43F6B">
        <w:t xml:space="preserve">London Plan </w:t>
      </w:r>
      <w:r w:rsidR="00AB1941">
        <w:t>Guidance (</w:t>
      </w:r>
      <w:r w:rsidR="009A5A9D">
        <w:t>LPG)</w:t>
      </w:r>
      <w:r w:rsidR="00020C59">
        <w:t xml:space="preserve">. </w:t>
      </w:r>
    </w:p>
    <w:p w14:paraId="2D01C893" w14:textId="77777777" w:rsidR="00D45EDE" w:rsidRDefault="00D45EDE" w:rsidP="00D72AAB">
      <w:pPr>
        <w:ind w:left="720" w:hanging="720"/>
        <w:jc w:val="both"/>
      </w:pPr>
    </w:p>
    <w:p w14:paraId="62F259C8" w14:textId="5EC97D66" w:rsidR="00ED1E35" w:rsidRDefault="00D45EDE" w:rsidP="00D72AAB">
      <w:pPr>
        <w:ind w:left="720" w:hanging="720"/>
        <w:jc w:val="both"/>
      </w:pPr>
      <w:r>
        <w:t>4.3</w:t>
      </w:r>
      <w:r>
        <w:tab/>
      </w:r>
      <w:r w:rsidR="008318D6">
        <w:t xml:space="preserve">GLA </w:t>
      </w:r>
      <w:r w:rsidR="00073DC8">
        <w:t>officers w</w:t>
      </w:r>
      <w:r w:rsidR="00377226">
        <w:t>e</w:t>
      </w:r>
      <w:r w:rsidR="00073DC8">
        <w:t xml:space="preserve">re </w:t>
      </w:r>
      <w:bookmarkStart w:id="12" w:name="_Int_o3tqvzZU"/>
      <w:r w:rsidR="00073DC8">
        <w:t>generally supportive</w:t>
      </w:r>
      <w:bookmarkEnd w:id="12"/>
      <w:r w:rsidR="00073DC8">
        <w:t xml:space="preserve"> of the approach </w:t>
      </w:r>
      <w:r w:rsidR="00CC7E3A">
        <w:t xml:space="preserve">proposed for the SPD, however their overriding concern was in relation to the potential conflict between </w:t>
      </w:r>
      <w:r w:rsidR="00BA6DBF">
        <w:t xml:space="preserve">buildings that may be </w:t>
      </w:r>
      <w:r w:rsidR="009D425B">
        <w:t>considered</w:t>
      </w:r>
      <w:r w:rsidR="00BA6DBF">
        <w:t xml:space="preserve"> perceptively tall within Harrow, and what would constitute a tall building as </w:t>
      </w:r>
      <w:r w:rsidR="007E5F6C">
        <w:t>defined</w:t>
      </w:r>
      <w:r w:rsidR="00BA6DBF">
        <w:t xml:space="preserve"> in Policy D9 (Tall </w:t>
      </w:r>
      <w:r w:rsidR="009D425B">
        <w:t>buildings</w:t>
      </w:r>
      <w:r w:rsidR="00BA6DBF">
        <w:t>) of the Lo</w:t>
      </w:r>
      <w:r w:rsidR="009D425B">
        <w:t>n</w:t>
      </w:r>
      <w:r w:rsidR="00BA6DBF">
        <w:t>don Plan (2</w:t>
      </w:r>
      <w:r w:rsidR="009D425B">
        <w:t>0</w:t>
      </w:r>
      <w:r w:rsidR="00BA6DBF">
        <w:t>21)</w:t>
      </w:r>
      <w:r w:rsidR="009D425B">
        <w:t xml:space="preserve">. </w:t>
      </w:r>
      <w:r w:rsidR="00565EF8">
        <w:t>The SPD intends to provide guidance for both tall</w:t>
      </w:r>
      <w:r w:rsidR="37E8D050">
        <w:t xml:space="preserve"> and contextually tall</w:t>
      </w:r>
      <w:r w:rsidR="00565EF8">
        <w:t xml:space="preserve"> buildings.</w:t>
      </w:r>
    </w:p>
    <w:p w14:paraId="58416006" w14:textId="77777777" w:rsidR="00ED1E35" w:rsidRDefault="00ED1E35" w:rsidP="00D72AAB">
      <w:pPr>
        <w:ind w:left="720" w:hanging="720"/>
        <w:jc w:val="both"/>
      </w:pPr>
    </w:p>
    <w:p w14:paraId="27F95645" w14:textId="77777777" w:rsidR="005B09FC" w:rsidRDefault="00ED1E35" w:rsidP="00D72AAB">
      <w:pPr>
        <w:ind w:left="720" w:hanging="720"/>
        <w:jc w:val="both"/>
      </w:pPr>
      <w:r>
        <w:t>4.4</w:t>
      </w:r>
      <w:r>
        <w:tab/>
      </w:r>
      <w:r w:rsidR="00E452C4">
        <w:t xml:space="preserve">GLA officers recommended reviewing the </w:t>
      </w:r>
      <w:r w:rsidR="00BC23FD">
        <w:t>proposed</w:t>
      </w:r>
      <w:r w:rsidR="00E452C4">
        <w:t xml:space="preserve"> title of the SPD to assist in </w:t>
      </w:r>
      <w:r w:rsidR="00836F23">
        <w:t>mitigating any confusion</w:t>
      </w:r>
      <w:r w:rsidR="005B09FC">
        <w:t xml:space="preserve"> and potential conflict between the SPD and Policy D9 of the London Plan (2021). </w:t>
      </w:r>
    </w:p>
    <w:p w14:paraId="04A56FF7" w14:textId="77777777" w:rsidR="005B09FC" w:rsidRDefault="005B09FC" w:rsidP="00D72AAB">
      <w:pPr>
        <w:ind w:left="720" w:hanging="720"/>
        <w:jc w:val="both"/>
      </w:pPr>
    </w:p>
    <w:p w14:paraId="39B5900C" w14:textId="74552067" w:rsidR="00A87F98" w:rsidRDefault="0D4CEB4B" w:rsidP="42D6601E">
      <w:pPr>
        <w:ind w:left="720" w:hanging="720"/>
        <w:jc w:val="both"/>
        <w:rPr>
          <w:rFonts w:eastAsia="Arial" w:cs="Arial"/>
        </w:rPr>
      </w:pPr>
      <w:r w:rsidRPr="42D6601E">
        <w:rPr>
          <w:rFonts w:eastAsia="Arial" w:cs="Arial"/>
        </w:rPr>
        <w:t>4.5</w:t>
      </w:r>
      <w:r>
        <w:tab/>
      </w:r>
      <w:r w:rsidRPr="42D6601E">
        <w:rPr>
          <w:rFonts w:eastAsia="Arial" w:cs="Arial"/>
        </w:rPr>
        <w:t xml:space="preserve">In response to </w:t>
      </w:r>
      <w:r w:rsidR="35B20887" w:rsidRPr="42D6601E">
        <w:rPr>
          <w:rFonts w:eastAsia="Arial" w:cs="Arial"/>
        </w:rPr>
        <w:t xml:space="preserve">the </w:t>
      </w:r>
      <w:r w:rsidR="51691CB2" w:rsidRPr="42D6601E">
        <w:rPr>
          <w:rFonts w:eastAsia="Arial" w:cs="Arial"/>
        </w:rPr>
        <w:t>potential conf</w:t>
      </w:r>
      <w:r w:rsidR="6FF4B2A4" w:rsidRPr="42D6601E">
        <w:rPr>
          <w:rFonts w:eastAsia="Arial" w:cs="Arial"/>
        </w:rPr>
        <w:t>l</w:t>
      </w:r>
      <w:r w:rsidR="51691CB2" w:rsidRPr="42D6601E">
        <w:rPr>
          <w:rFonts w:eastAsia="Arial" w:cs="Arial"/>
        </w:rPr>
        <w:t>ict</w:t>
      </w:r>
      <w:r w:rsidR="782877F7" w:rsidRPr="42D6601E">
        <w:rPr>
          <w:rFonts w:eastAsia="Arial" w:cs="Arial"/>
        </w:rPr>
        <w:t xml:space="preserve"> with the title of the SPD</w:t>
      </w:r>
      <w:r w:rsidRPr="42D6601E">
        <w:rPr>
          <w:rFonts w:eastAsia="Arial" w:cs="Arial"/>
        </w:rPr>
        <w:t xml:space="preserve">, </w:t>
      </w:r>
      <w:r w:rsidR="64006926" w:rsidRPr="42D6601E">
        <w:rPr>
          <w:rFonts w:eastAsia="Arial" w:cs="Arial"/>
        </w:rPr>
        <w:t xml:space="preserve">it </w:t>
      </w:r>
      <w:r w:rsidR="4A5392EC" w:rsidRPr="42D6601E">
        <w:rPr>
          <w:rFonts w:eastAsia="Arial" w:cs="Arial"/>
        </w:rPr>
        <w:t>is proposed</w:t>
      </w:r>
      <w:r w:rsidR="3870FC41" w:rsidRPr="42D6601E">
        <w:rPr>
          <w:rFonts w:eastAsia="Arial" w:cs="Arial"/>
        </w:rPr>
        <w:t xml:space="preserve"> to rebrand the title to </w:t>
      </w:r>
      <w:r w:rsidR="336BE332" w:rsidRPr="42D6601E">
        <w:rPr>
          <w:rFonts w:eastAsia="Arial" w:cs="Arial"/>
        </w:rPr>
        <w:t>‘</w:t>
      </w:r>
      <w:r w:rsidR="3870FC41" w:rsidRPr="42D6601E">
        <w:rPr>
          <w:rFonts w:eastAsia="Arial" w:cs="Arial"/>
        </w:rPr>
        <w:t xml:space="preserve">Harrow </w:t>
      </w:r>
      <w:r w:rsidR="5EE65B2A" w:rsidRPr="578BBE2F">
        <w:rPr>
          <w:rFonts w:cs="Arial"/>
          <w:szCs w:val="24"/>
        </w:rPr>
        <w:t>Tall Buildings (‘</w:t>
      </w:r>
      <w:r w:rsidR="3870FC41" w:rsidRPr="4D555F60">
        <w:rPr>
          <w:rFonts w:eastAsia="Arial" w:cs="Arial"/>
          <w:szCs w:val="24"/>
        </w:rPr>
        <w:t xml:space="preserve">Building </w:t>
      </w:r>
      <w:r w:rsidR="5EE65B2A" w:rsidRPr="578BBE2F">
        <w:rPr>
          <w:rFonts w:cs="Arial"/>
          <w:szCs w:val="24"/>
        </w:rPr>
        <w:t>Heights’)</w:t>
      </w:r>
      <w:r w:rsidR="25565047" w:rsidRPr="578BBE2F">
        <w:rPr>
          <w:rFonts w:eastAsia="Arial" w:cs="Arial"/>
        </w:rPr>
        <w:t xml:space="preserve"> </w:t>
      </w:r>
      <w:r w:rsidR="3870FC41" w:rsidRPr="578BBE2F">
        <w:rPr>
          <w:rFonts w:eastAsia="Arial" w:cs="Arial"/>
        </w:rPr>
        <w:t>SPD</w:t>
      </w:r>
      <w:r w:rsidR="336BE332" w:rsidRPr="578BBE2F">
        <w:rPr>
          <w:rFonts w:eastAsia="Arial" w:cs="Arial"/>
        </w:rPr>
        <w:t>’</w:t>
      </w:r>
      <w:r w:rsidR="3870FC41" w:rsidRPr="578BBE2F">
        <w:rPr>
          <w:rFonts w:eastAsia="Arial" w:cs="Arial"/>
        </w:rPr>
        <w:t>.</w:t>
      </w:r>
      <w:r w:rsidR="44A851AB" w:rsidRPr="42D6601E">
        <w:rPr>
          <w:rFonts w:eastAsia="Arial" w:cs="Arial"/>
        </w:rPr>
        <w:t xml:space="preserve"> </w:t>
      </w:r>
      <w:r w:rsidR="65A4BFC7" w:rsidRPr="42D6601E">
        <w:rPr>
          <w:rFonts w:eastAsia="Arial" w:cs="Arial"/>
        </w:rPr>
        <w:t xml:space="preserve">This would seek to address the GLA’s concerns whilst retaining the words ‘tall buildings’ to reflect </w:t>
      </w:r>
      <w:r w:rsidR="7A3B8D2B" w:rsidRPr="42D6601E">
        <w:rPr>
          <w:rFonts w:eastAsia="Arial" w:cs="Arial"/>
        </w:rPr>
        <w:t xml:space="preserve">what the public recognise the document to be about. </w:t>
      </w:r>
      <w:r w:rsidR="7EBFEC03" w:rsidRPr="42D6601E">
        <w:rPr>
          <w:rFonts w:eastAsia="Arial" w:cs="Arial"/>
        </w:rPr>
        <w:t>An alternative name could also be Harrow Building Heights (Tall and Contextually Tall Buildings</w:t>
      </w:r>
      <w:r w:rsidR="36D8AAE4" w:rsidRPr="42D6601E">
        <w:rPr>
          <w:rFonts w:eastAsia="Arial" w:cs="Arial"/>
        </w:rPr>
        <w:t>) SPD</w:t>
      </w:r>
      <w:r w:rsidR="7EBFEC03" w:rsidRPr="42D6601E">
        <w:rPr>
          <w:rFonts w:eastAsia="Arial" w:cs="Arial"/>
        </w:rPr>
        <w:t>.</w:t>
      </w:r>
      <w:r w:rsidR="2EA5FDF3" w:rsidRPr="42D6601E">
        <w:rPr>
          <w:rFonts w:eastAsia="Arial" w:cs="Arial"/>
        </w:rPr>
        <w:t xml:space="preserve"> This </w:t>
      </w:r>
      <w:r w:rsidR="195A5CDD" w:rsidRPr="42D6601E">
        <w:rPr>
          <w:rFonts w:eastAsia="Arial" w:cs="Arial"/>
        </w:rPr>
        <w:t xml:space="preserve">alternative </w:t>
      </w:r>
      <w:r w:rsidR="2EA5FDF3" w:rsidRPr="42D6601E">
        <w:rPr>
          <w:rFonts w:eastAsia="Arial" w:cs="Arial"/>
        </w:rPr>
        <w:t xml:space="preserve">name </w:t>
      </w:r>
      <w:r w:rsidR="770CFD30" w:rsidRPr="42D6601E">
        <w:rPr>
          <w:rFonts w:eastAsia="Arial" w:cs="Arial"/>
        </w:rPr>
        <w:t xml:space="preserve">has the benefit of </w:t>
      </w:r>
      <w:r w:rsidR="2EA5FDF3" w:rsidRPr="42D6601E">
        <w:rPr>
          <w:rFonts w:eastAsia="Arial" w:cs="Arial"/>
        </w:rPr>
        <w:t xml:space="preserve">clearly </w:t>
      </w:r>
      <w:r w:rsidR="0735A996" w:rsidRPr="42D6601E">
        <w:rPr>
          <w:rFonts w:eastAsia="Arial" w:cs="Arial"/>
        </w:rPr>
        <w:t>articulat</w:t>
      </w:r>
      <w:r w:rsidR="22302778" w:rsidRPr="42D6601E">
        <w:rPr>
          <w:rFonts w:eastAsia="Arial" w:cs="Arial"/>
        </w:rPr>
        <w:t>ing</w:t>
      </w:r>
      <w:r w:rsidR="0735A996" w:rsidRPr="42D6601E">
        <w:rPr>
          <w:rFonts w:eastAsia="Arial" w:cs="Arial"/>
        </w:rPr>
        <w:t xml:space="preserve"> that </w:t>
      </w:r>
      <w:r w:rsidR="2EA5FDF3" w:rsidRPr="42D6601E">
        <w:rPr>
          <w:rFonts w:eastAsia="Arial" w:cs="Arial"/>
        </w:rPr>
        <w:t>the draft SPD also covers ‘contextually tall’ buildings (</w:t>
      </w:r>
      <w:proofErr w:type="gramStart"/>
      <w:r w:rsidR="2EA5FDF3" w:rsidRPr="42D6601E">
        <w:rPr>
          <w:rFonts w:eastAsia="Arial" w:cs="Arial"/>
        </w:rPr>
        <w:t>i.e.</w:t>
      </w:r>
      <w:proofErr w:type="gramEnd"/>
      <w:r w:rsidR="2EA5FDF3" w:rsidRPr="42D6601E">
        <w:rPr>
          <w:rFonts w:eastAsia="Arial" w:cs="Arial"/>
        </w:rPr>
        <w:t xml:space="preserve"> those that are below the London Plan 6 storey / 18 mete</w:t>
      </w:r>
      <w:r w:rsidR="429B1CB8" w:rsidRPr="42D6601E">
        <w:rPr>
          <w:rFonts w:eastAsia="Arial" w:cs="Arial"/>
        </w:rPr>
        <w:t>r</w:t>
      </w:r>
      <w:r w:rsidR="2EA5FDF3" w:rsidRPr="42D6601E">
        <w:rPr>
          <w:rFonts w:eastAsia="Arial" w:cs="Arial"/>
        </w:rPr>
        <w:t xml:space="preserve"> definition but are tall in their context i.e. two storey Metroland).</w:t>
      </w:r>
    </w:p>
    <w:p w14:paraId="6EDA9AD5" w14:textId="35379427" w:rsidR="008A6E87" w:rsidRDefault="008A6E87" w:rsidP="42D6601E">
      <w:pPr>
        <w:ind w:left="720" w:hanging="720"/>
        <w:jc w:val="both"/>
      </w:pPr>
    </w:p>
    <w:p w14:paraId="797D455B" w14:textId="24D62345" w:rsidR="008A6E87" w:rsidRDefault="008A6E87" w:rsidP="00D72AAB">
      <w:pPr>
        <w:ind w:left="720" w:hanging="720"/>
        <w:jc w:val="both"/>
      </w:pPr>
      <w:r>
        <w:t>4.6</w:t>
      </w:r>
      <w:r>
        <w:tab/>
      </w:r>
      <w:r w:rsidR="005A3E1C">
        <w:t xml:space="preserve">With regard to the </w:t>
      </w:r>
      <w:r w:rsidR="001301F3">
        <w:t xml:space="preserve">potential conflict </w:t>
      </w:r>
      <w:r w:rsidR="004C3731">
        <w:t xml:space="preserve">between applying the SPD and the requirements as set out in Policy D9 of the London Plan (2021), officers have </w:t>
      </w:r>
      <w:r w:rsidR="00DD264F">
        <w:t xml:space="preserve">proposed </w:t>
      </w:r>
      <w:r w:rsidR="004C3731">
        <w:t xml:space="preserve">a traffic light system </w:t>
      </w:r>
      <w:r w:rsidR="00DD264F">
        <w:t xml:space="preserve">with </w:t>
      </w:r>
      <w:r w:rsidR="00CA14F5">
        <w:t>explanatory</w:t>
      </w:r>
      <w:r w:rsidR="00DD264F">
        <w:t xml:space="preserve"> te</w:t>
      </w:r>
      <w:r w:rsidR="00CA14F5">
        <w:t>x</w:t>
      </w:r>
      <w:r w:rsidR="00DD264F">
        <w:t xml:space="preserve">t </w:t>
      </w:r>
      <w:r w:rsidR="00CA14F5">
        <w:t xml:space="preserve">to guide </w:t>
      </w:r>
      <w:r w:rsidR="00DD264F">
        <w:t>applicants</w:t>
      </w:r>
      <w:r w:rsidR="00CA14F5">
        <w:t xml:space="preserve"> how </w:t>
      </w:r>
      <w:r w:rsidR="001D3665">
        <w:t xml:space="preserve">and when to use the SPD depending on </w:t>
      </w:r>
      <w:r w:rsidR="009837B4">
        <w:t>the specific development proposal</w:t>
      </w:r>
      <w:r w:rsidR="00663B92">
        <w:t xml:space="preserve"> (i.e. whether the proposal represents a ‘tall building’ has specifically defined by the London Plan, or a ‘contextually tall’ building as identified by the building heights</w:t>
      </w:r>
      <w:r w:rsidR="00863A10">
        <w:t xml:space="preserve"> within the locality of the development, applying the formula in section 5 below</w:t>
      </w:r>
      <w:r w:rsidR="001D3665">
        <w:t>.</w:t>
      </w:r>
    </w:p>
    <w:p w14:paraId="6A024ACE" w14:textId="74FCAF5A" w:rsidR="001D3665" w:rsidRDefault="001D3665" w:rsidP="00D72AAB">
      <w:pPr>
        <w:ind w:left="720" w:hanging="720"/>
        <w:jc w:val="both"/>
      </w:pPr>
    </w:p>
    <w:p w14:paraId="1CE00CD4" w14:textId="4613D8D8" w:rsidR="001D3665" w:rsidRPr="003F382E" w:rsidRDefault="001D3665" w:rsidP="00D72AAB">
      <w:pPr>
        <w:ind w:left="720" w:hanging="720"/>
        <w:jc w:val="both"/>
      </w:pPr>
      <w:r>
        <w:t>4.7</w:t>
      </w:r>
      <w:r>
        <w:tab/>
        <w:t xml:space="preserve">Officers </w:t>
      </w:r>
      <w:r w:rsidR="00863A10">
        <w:t>consider</w:t>
      </w:r>
      <w:r>
        <w:t xml:space="preserve"> that the proposed changes </w:t>
      </w:r>
      <w:r w:rsidR="00863A10">
        <w:t xml:space="preserve">should </w:t>
      </w:r>
      <w:bookmarkStart w:id="13" w:name="_Int_N9KTGjsO"/>
      <w:r w:rsidR="00863A10">
        <w:t xml:space="preserve">adequately </w:t>
      </w:r>
      <w:r>
        <w:t>address</w:t>
      </w:r>
      <w:bookmarkEnd w:id="13"/>
      <w:r>
        <w:t xml:space="preserve"> the concerns</w:t>
      </w:r>
      <w:r w:rsidR="0057464A">
        <w:t xml:space="preserve"> raised by the GLA, and maintain the </w:t>
      </w:r>
      <w:r w:rsidR="001E1560">
        <w:t>outcomes originally sought by the SPD</w:t>
      </w:r>
      <w:r w:rsidR="00BE133C">
        <w:t xml:space="preserve"> as the approach remains as set out in the report to the PPAP meeting on 3</w:t>
      </w:r>
      <w:r w:rsidR="00BE133C" w:rsidRPr="0033580E">
        <w:rPr>
          <w:vertAlign w:val="superscript"/>
        </w:rPr>
        <w:t>rd</w:t>
      </w:r>
      <w:r w:rsidR="0033580E">
        <w:t xml:space="preserve"> October 2022</w:t>
      </w:r>
      <w:r w:rsidR="001E1560">
        <w:t xml:space="preserve">. </w:t>
      </w:r>
    </w:p>
    <w:p w14:paraId="44C517C7" w14:textId="25DBB999" w:rsidR="009C45CF" w:rsidRDefault="009C45CF" w:rsidP="00D72AAB">
      <w:pPr>
        <w:keepNext/>
        <w:ind w:firstLine="720"/>
        <w:jc w:val="both"/>
        <w:rPr>
          <w:b/>
          <w:bCs/>
        </w:rPr>
      </w:pPr>
    </w:p>
    <w:p w14:paraId="796BF12E" w14:textId="0D721F74" w:rsidR="009C45CF" w:rsidRDefault="007539AD" w:rsidP="00D72AAB">
      <w:pPr>
        <w:keepNext/>
        <w:ind w:firstLine="720"/>
        <w:jc w:val="both"/>
        <w:rPr>
          <w:b/>
          <w:bCs/>
        </w:rPr>
      </w:pPr>
      <w:r>
        <w:rPr>
          <w:b/>
          <w:bCs/>
        </w:rPr>
        <w:t>Metropolitan Polic</w:t>
      </w:r>
      <w:r w:rsidR="00471D8A">
        <w:rPr>
          <w:b/>
          <w:bCs/>
        </w:rPr>
        <w:t>e</w:t>
      </w:r>
      <w:r>
        <w:rPr>
          <w:b/>
          <w:bCs/>
        </w:rPr>
        <w:t xml:space="preserve"> </w:t>
      </w:r>
      <w:r w:rsidR="007412F7">
        <w:rPr>
          <w:b/>
          <w:bCs/>
        </w:rPr>
        <w:t xml:space="preserve">(MET) </w:t>
      </w:r>
      <w:r>
        <w:rPr>
          <w:b/>
          <w:bCs/>
        </w:rPr>
        <w:t>(Secure by Design)</w:t>
      </w:r>
    </w:p>
    <w:p w14:paraId="79E8689B" w14:textId="6401F612" w:rsidR="009C45CF" w:rsidRDefault="009C45CF" w:rsidP="00D72AAB">
      <w:pPr>
        <w:keepNext/>
        <w:ind w:firstLine="720"/>
        <w:jc w:val="both"/>
        <w:rPr>
          <w:b/>
          <w:bCs/>
        </w:rPr>
      </w:pPr>
    </w:p>
    <w:p w14:paraId="4F879667" w14:textId="2BA25CCA" w:rsidR="00F2118D" w:rsidRDefault="009B689B" w:rsidP="00D72AAB">
      <w:pPr>
        <w:ind w:left="720" w:hanging="720"/>
        <w:jc w:val="both"/>
        <w:rPr>
          <w:rFonts w:cs="Arial"/>
        </w:rPr>
      </w:pPr>
      <w:r>
        <w:rPr>
          <w:rFonts w:cs="Arial"/>
        </w:rPr>
        <w:t>4.</w:t>
      </w:r>
      <w:r w:rsidR="006E72AC">
        <w:rPr>
          <w:rFonts w:cs="Arial"/>
        </w:rPr>
        <w:t>8</w:t>
      </w:r>
      <w:r>
        <w:tab/>
      </w:r>
      <w:r w:rsidR="007412F7">
        <w:rPr>
          <w:rFonts w:cs="Arial"/>
        </w:rPr>
        <w:t xml:space="preserve">The MET </w:t>
      </w:r>
      <w:r w:rsidR="00C474CD">
        <w:rPr>
          <w:rFonts w:cs="Arial"/>
        </w:rPr>
        <w:t>(Secure by Design) constitute a stat</w:t>
      </w:r>
      <w:r w:rsidR="004F26C8">
        <w:rPr>
          <w:rFonts w:cs="Arial"/>
        </w:rPr>
        <w:t>utory</w:t>
      </w:r>
      <w:r w:rsidR="00C95B5A">
        <w:rPr>
          <w:rFonts w:cs="Arial"/>
        </w:rPr>
        <w:t xml:space="preserve"> consultee who will be consulted with in relation to the draft document. </w:t>
      </w:r>
      <w:r w:rsidR="00F40B92">
        <w:rPr>
          <w:rFonts w:cs="Arial"/>
        </w:rPr>
        <w:t xml:space="preserve">Informal consultation was undertaken </w:t>
      </w:r>
      <w:r w:rsidR="000A477A">
        <w:rPr>
          <w:rFonts w:cs="Arial"/>
        </w:rPr>
        <w:t xml:space="preserve">to allow the drafting </w:t>
      </w:r>
      <w:r w:rsidR="009350B9">
        <w:rPr>
          <w:rFonts w:cs="Arial"/>
        </w:rPr>
        <w:t xml:space="preserve">process for </w:t>
      </w:r>
      <w:r w:rsidR="000A477A">
        <w:rPr>
          <w:rFonts w:cs="Arial"/>
        </w:rPr>
        <w:t xml:space="preserve">the SPD to </w:t>
      </w:r>
      <w:r w:rsidR="009350B9">
        <w:rPr>
          <w:rFonts w:cs="Arial"/>
        </w:rPr>
        <w:t xml:space="preserve">be informed </w:t>
      </w:r>
      <w:r w:rsidR="000A477A">
        <w:rPr>
          <w:rFonts w:cs="Arial"/>
        </w:rPr>
        <w:t xml:space="preserve">from an early stage </w:t>
      </w:r>
      <w:r w:rsidR="00487AE0">
        <w:rPr>
          <w:rFonts w:cs="Arial"/>
        </w:rPr>
        <w:t xml:space="preserve">of </w:t>
      </w:r>
      <w:r w:rsidR="000A477A">
        <w:rPr>
          <w:rFonts w:cs="Arial"/>
        </w:rPr>
        <w:t xml:space="preserve">the </w:t>
      </w:r>
      <w:r w:rsidR="00487AE0">
        <w:rPr>
          <w:rFonts w:cs="Arial"/>
        </w:rPr>
        <w:t xml:space="preserve">Secure by Design </w:t>
      </w:r>
      <w:r w:rsidR="003F426A">
        <w:rPr>
          <w:rFonts w:cs="Arial"/>
        </w:rPr>
        <w:t xml:space="preserve">issues that </w:t>
      </w:r>
      <w:r w:rsidR="009B60CF">
        <w:rPr>
          <w:rFonts w:cs="Arial"/>
        </w:rPr>
        <w:t>taller</w:t>
      </w:r>
      <w:r w:rsidR="00487AE0">
        <w:rPr>
          <w:rFonts w:cs="Arial"/>
        </w:rPr>
        <w:t xml:space="preserve"> buildings / pr</w:t>
      </w:r>
      <w:r w:rsidR="008064F4">
        <w:rPr>
          <w:rFonts w:cs="Arial"/>
        </w:rPr>
        <w:t>oposals</w:t>
      </w:r>
      <w:r w:rsidR="009B60CF">
        <w:rPr>
          <w:rFonts w:cs="Arial"/>
        </w:rPr>
        <w:t xml:space="preserve"> where higher density is proposed</w:t>
      </w:r>
      <w:r w:rsidR="008064F4">
        <w:rPr>
          <w:rFonts w:cs="Arial"/>
        </w:rPr>
        <w:t xml:space="preserve"> present</w:t>
      </w:r>
      <w:r w:rsidR="009B60CF">
        <w:rPr>
          <w:rFonts w:cs="Arial"/>
        </w:rPr>
        <w:t xml:space="preserve">, whereby ensuring </w:t>
      </w:r>
      <w:r w:rsidR="00B276D6">
        <w:rPr>
          <w:rFonts w:cs="Arial"/>
        </w:rPr>
        <w:t>guidance</w:t>
      </w:r>
      <w:r w:rsidR="009B60CF">
        <w:rPr>
          <w:rFonts w:cs="Arial"/>
        </w:rPr>
        <w:t xml:space="preserve"> </w:t>
      </w:r>
      <w:bookmarkStart w:id="14" w:name="_Int_jbVTLpuh"/>
      <w:r w:rsidR="5A47F224" w:rsidRPr="77DCD16E">
        <w:rPr>
          <w:rFonts w:cs="Arial"/>
        </w:rPr>
        <w:t>can</w:t>
      </w:r>
      <w:bookmarkEnd w:id="14"/>
      <w:r w:rsidR="009B60CF">
        <w:rPr>
          <w:rFonts w:cs="Arial"/>
        </w:rPr>
        <w:t xml:space="preserve"> </w:t>
      </w:r>
      <w:r w:rsidR="00B276D6">
        <w:rPr>
          <w:rFonts w:cs="Arial"/>
        </w:rPr>
        <w:t>look to address such issues</w:t>
      </w:r>
      <w:r w:rsidR="00F2118D">
        <w:rPr>
          <w:rFonts w:cs="Arial"/>
        </w:rPr>
        <w:t xml:space="preserve"> </w:t>
      </w:r>
      <w:r w:rsidR="15732822" w:rsidRPr="0FC0663D">
        <w:rPr>
          <w:rFonts w:cs="Arial"/>
        </w:rPr>
        <w:t>early in the</w:t>
      </w:r>
      <w:r w:rsidR="00F2118D">
        <w:rPr>
          <w:rFonts w:cs="Arial"/>
        </w:rPr>
        <w:t xml:space="preserve"> drafting</w:t>
      </w:r>
      <w:r w:rsidR="00B276D6">
        <w:rPr>
          <w:rFonts w:cs="Arial"/>
        </w:rPr>
        <w:t>.</w:t>
      </w:r>
    </w:p>
    <w:p w14:paraId="1E71291D" w14:textId="77777777" w:rsidR="00F2118D" w:rsidRDefault="00F2118D" w:rsidP="00D72AAB">
      <w:pPr>
        <w:ind w:left="720" w:hanging="720"/>
        <w:jc w:val="both"/>
        <w:rPr>
          <w:rFonts w:cs="Arial"/>
        </w:rPr>
      </w:pPr>
    </w:p>
    <w:p w14:paraId="187651A7" w14:textId="5BE6CA56" w:rsidR="008745BF" w:rsidRDefault="00F2118D" w:rsidP="00B03B69">
      <w:pPr>
        <w:keepNext/>
        <w:ind w:left="720" w:hanging="720"/>
        <w:jc w:val="both"/>
        <w:rPr>
          <w:rFonts w:cs="Arial"/>
        </w:rPr>
      </w:pPr>
      <w:r>
        <w:rPr>
          <w:rFonts w:cs="Arial"/>
        </w:rPr>
        <w:t>4.</w:t>
      </w:r>
      <w:r w:rsidR="006E72AC">
        <w:rPr>
          <w:rFonts w:cs="Arial"/>
        </w:rPr>
        <w:t>9</w:t>
      </w:r>
      <w:r>
        <w:rPr>
          <w:rFonts w:cs="Arial"/>
        </w:rPr>
        <w:tab/>
      </w:r>
      <w:r w:rsidR="002A102D">
        <w:rPr>
          <w:rFonts w:cs="Arial"/>
        </w:rPr>
        <w:t xml:space="preserve">The feedback </w:t>
      </w:r>
      <w:r w:rsidR="001D2148">
        <w:rPr>
          <w:rFonts w:cs="Arial"/>
        </w:rPr>
        <w:t>points</w:t>
      </w:r>
      <w:r w:rsidR="00EA5EE7">
        <w:rPr>
          <w:rFonts w:cs="Arial"/>
        </w:rPr>
        <w:t xml:space="preserve"> rai</w:t>
      </w:r>
      <w:r w:rsidR="00F64FEB">
        <w:rPr>
          <w:rFonts w:cs="Arial"/>
        </w:rPr>
        <w:t>sed</w:t>
      </w:r>
      <w:r w:rsidR="001D2148">
        <w:rPr>
          <w:rFonts w:cs="Arial"/>
        </w:rPr>
        <w:t xml:space="preserve"> </w:t>
      </w:r>
      <w:r w:rsidR="002A102D">
        <w:rPr>
          <w:rFonts w:cs="Arial"/>
        </w:rPr>
        <w:t>from the MET</w:t>
      </w:r>
      <w:r w:rsidR="00F64FEB">
        <w:rPr>
          <w:rFonts w:cs="Arial"/>
        </w:rPr>
        <w:t xml:space="preserve"> are noted as the </w:t>
      </w:r>
      <w:proofErr w:type="gramStart"/>
      <w:r w:rsidR="00F64FEB">
        <w:rPr>
          <w:rFonts w:cs="Arial"/>
        </w:rPr>
        <w:t>following;</w:t>
      </w:r>
      <w:proofErr w:type="gramEnd"/>
    </w:p>
    <w:p w14:paraId="3FED23BA" w14:textId="313D7F68" w:rsidR="00113ED3" w:rsidRDefault="00113ED3" w:rsidP="00B03B69">
      <w:pPr>
        <w:keepNext/>
        <w:ind w:left="720" w:hanging="720"/>
        <w:jc w:val="both"/>
        <w:rPr>
          <w:rFonts w:cs="Arial"/>
        </w:rPr>
      </w:pPr>
    </w:p>
    <w:p w14:paraId="77B55466" w14:textId="77777777" w:rsidR="00113ED3" w:rsidRDefault="00113ED3" w:rsidP="00D72AAB">
      <w:pPr>
        <w:pStyle w:val="ListParagraph"/>
        <w:numPr>
          <w:ilvl w:val="0"/>
          <w:numId w:val="18"/>
        </w:numPr>
        <w:jc w:val="both"/>
      </w:pPr>
      <w:r>
        <w:t>Separate staircase provided for fire escape only</w:t>
      </w:r>
    </w:p>
    <w:p w14:paraId="2F0F14BA" w14:textId="77777777" w:rsidR="00113ED3" w:rsidRDefault="00113ED3" w:rsidP="00D72AAB">
      <w:pPr>
        <w:pStyle w:val="ListParagraph"/>
        <w:numPr>
          <w:ilvl w:val="0"/>
          <w:numId w:val="18"/>
        </w:numPr>
        <w:jc w:val="both"/>
      </w:pPr>
      <w:r>
        <w:t>Cycle storage facilities should be behind two lockable doors</w:t>
      </w:r>
    </w:p>
    <w:p w14:paraId="709AFED5" w14:textId="77777777" w:rsidR="00113ED3" w:rsidRDefault="00113ED3" w:rsidP="00D72AAB">
      <w:pPr>
        <w:pStyle w:val="ListParagraph"/>
        <w:numPr>
          <w:ilvl w:val="0"/>
          <w:numId w:val="18"/>
        </w:numPr>
        <w:jc w:val="both"/>
      </w:pPr>
      <w:r>
        <w:t>Storage areas should not hold more than 70 cycles</w:t>
      </w:r>
    </w:p>
    <w:p w14:paraId="052F2B5E" w14:textId="77777777" w:rsidR="00113ED3" w:rsidRDefault="00113ED3" w:rsidP="00D72AAB">
      <w:pPr>
        <w:pStyle w:val="ListParagraph"/>
        <w:numPr>
          <w:ilvl w:val="0"/>
          <w:numId w:val="18"/>
        </w:numPr>
        <w:jc w:val="both"/>
      </w:pPr>
      <w:r>
        <w:t>Bin Storage</w:t>
      </w:r>
    </w:p>
    <w:p w14:paraId="7D9F5D88" w14:textId="77777777" w:rsidR="00113ED3" w:rsidRDefault="00113ED3" w:rsidP="00D72AAB">
      <w:pPr>
        <w:pStyle w:val="ListParagraph"/>
        <w:numPr>
          <w:ilvl w:val="0"/>
          <w:numId w:val="18"/>
        </w:numPr>
        <w:jc w:val="both"/>
      </w:pPr>
      <w:r>
        <w:t xml:space="preserve">Postal Strategy </w:t>
      </w:r>
    </w:p>
    <w:p w14:paraId="65D426EF" w14:textId="77777777" w:rsidR="00113ED3" w:rsidRDefault="00113ED3" w:rsidP="00D72AAB">
      <w:pPr>
        <w:pStyle w:val="ListParagraph"/>
        <w:numPr>
          <w:ilvl w:val="0"/>
          <w:numId w:val="18"/>
        </w:numPr>
        <w:jc w:val="both"/>
      </w:pPr>
      <w:r>
        <w:t>Ground floor use</w:t>
      </w:r>
    </w:p>
    <w:p w14:paraId="16E69AD5" w14:textId="77777777" w:rsidR="00113ED3" w:rsidRDefault="00113ED3" w:rsidP="00D72AAB">
      <w:pPr>
        <w:pStyle w:val="ListParagraph"/>
        <w:numPr>
          <w:ilvl w:val="0"/>
          <w:numId w:val="18"/>
        </w:numPr>
        <w:jc w:val="both"/>
      </w:pPr>
      <w:r>
        <w:t>Podium access</w:t>
      </w:r>
    </w:p>
    <w:p w14:paraId="27CEA875" w14:textId="77777777" w:rsidR="00113ED3" w:rsidRDefault="00113ED3" w:rsidP="00D72AAB">
      <w:pPr>
        <w:pStyle w:val="ListParagraph"/>
        <w:numPr>
          <w:ilvl w:val="0"/>
          <w:numId w:val="18"/>
        </w:numPr>
        <w:jc w:val="both"/>
      </w:pPr>
      <w:r>
        <w:t>Roof access</w:t>
      </w:r>
    </w:p>
    <w:p w14:paraId="1F4D87D5" w14:textId="7C60C20E" w:rsidR="00113ED3" w:rsidRDefault="00113ED3" w:rsidP="00D72AAB">
      <w:pPr>
        <w:ind w:left="720" w:hanging="720"/>
        <w:jc w:val="both"/>
        <w:rPr>
          <w:rFonts w:cs="Arial"/>
        </w:rPr>
      </w:pPr>
    </w:p>
    <w:p w14:paraId="38804AB9" w14:textId="7E4B93F3" w:rsidR="00113ED3" w:rsidRDefault="442296EB" w:rsidP="00B03B69">
      <w:pPr>
        <w:keepNext/>
        <w:ind w:left="720" w:hanging="720"/>
        <w:jc w:val="both"/>
        <w:rPr>
          <w:rFonts w:cs="Arial"/>
        </w:rPr>
      </w:pPr>
      <w:r w:rsidRPr="42D6601E">
        <w:rPr>
          <w:rFonts w:cs="Arial"/>
        </w:rPr>
        <w:t>4.10</w:t>
      </w:r>
      <w:r>
        <w:tab/>
      </w:r>
      <w:r w:rsidR="01CD8C4F" w:rsidRPr="42D6601E">
        <w:rPr>
          <w:rFonts w:cs="Arial"/>
        </w:rPr>
        <w:t xml:space="preserve">The draft SPD has specific </w:t>
      </w:r>
      <w:r w:rsidR="4DC8365B" w:rsidRPr="42D6601E">
        <w:rPr>
          <w:rFonts w:cs="Arial"/>
        </w:rPr>
        <w:t>guidance</w:t>
      </w:r>
      <w:r w:rsidR="01CD8C4F" w:rsidRPr="42D6601E">
        <w:rPr>
          <w:rFonts w:cs="Arial"/>
        </w:rPr>
        <w:t xml:space="preserve"> on Secure by </w:t>
      </w:r>
      <w:r w:rsidR="4DC8365B" w:rsidRPr="42D6601E">
        <w:rPr>
          <w:rFonts w:cs="Arial"/>
        </w:rPr>
        <w:t>Design (</w:t>
      </w:r>
      <w:proofErr w:type="spellStart"/>
      <w:r w:rsidR="4DC8365B" w:rsidRPr="42D6601E">
        <w:rPr>
          <w:rFonts w:cs="Arial"/>
        </w:rPr>
        <w:t>SbD</w:t>
      </w:r>
      <w:proofErr w:type="spellEnd"/>
      <w:r w:rsidR="4DC8365B" w:rsidRPr="42D6601E">
        <w:rPr>
          <w:rFonts w:cs="Arial"/>
        </w:rPr>
        <w:t>)</w:t>
      </w:r>
      <w:r w:rsidR="01CD8C4F" w:rsidRPr="42D6601E">
        <w:rPr>
          <w:rFonts w:cs="Arial"/>
        </w:rPr>
        <w:t xml:space="preserve">, which principally advises </w:t>
      </w:r>
      <w:r w:rsidR="4DC8365B" w:rsidRPr="42D6601E">
        <w:rPr>
          <w:rFonts w:cs="Arial"/>
        </w:rPr>
        <w:t>applicants</w:t>
      </w:r>
      <w:r w:rsidR="01CD8C4F" w:rsidRPr="42D6601E">
        <w:rPr>
          <w:rFonts w:cs="Arial"/>
        </w:rPr>
        <w:t xml:space="preserve"> that </w:t>
      </w:r>
      <w:r w:rsidR="4DC8365B" w:rsidRPr="42D6601E">
        <w:rPr>
          <w:rFonts w:cs="Arial"/>
        </w:rPr>
        <w:t xml:space="preserve">schemes must be designed with the </w:t>
      </w:r>
      <w:proofErr w:type="spellStart"/>
      <w:r w:rsidR="4DC8365B" w:rsidRPr="42D6601E">
        <w:rPr>
          <w:rFonts w:cs="Arial"/>
        </w:rPr>
        <w:t>SbD</w:t>
      </w:r>
      <w:proofErr w:type="spellEnd"/>
      <w:r w:rsidR="0CCFA39A" w:rsidRPr="42D6601E">
        <w:rPr>
          <w:rFonts w:cs="Arial"/>
        </w:rPr>
        <w:t xml:space="preserve"> </w:t>
      </w:r>
      <w:r w:rsidR="0CCFA39A" w:rsidRPr="42D6601E">
        <w:rPr>
          <w:rFonts w:cs="Arial"/>
        </w:rPr>
        <w:lastRenderedPageBreak/>
        <w:t xml:space="preserve">principles being addressed throughout the design progression of a scheme. However, </w:t>
      </w:r>
      <w:bookmarkStart w:id="15" w:name="_Int_S7VZo8Wq"/>
      <w:proofErr w:type="gramStart"/>
      <w:r w:rsidR="0CCFA39A" w:rsidRPr="42D6601E">
        <w:rPr>
          <w:rFonts w:cs="Arial"/>
        </w:rPr>
        <w:t>a number of</w:t>
      </w:r>
      <w:bookmarkEnd w:id="15"/>
      <w:proofErr w:type="gramEnd"/>
      <w:r w:rsidR="0CCFA39A" w:rsidRPr="42D6601E">
        <w:rPr>
          <w:rFonts w:cs="Arial"/>
        </w:rPr>
        <w:t xml:space="preserve"> the </w:t>
      </w:r>
      <w:r w:rsidR="455C2D71" w:rsidRPr="42D6601E">
        <w:rPr>
          <w:rFonts w:cs="Arial"/>
        </w:rPr>
        <w:t xml:space="preserve">points raised are relevant to several objectives / principles within the draft </w:t>
      </w:r>
      <w:r w:rsidR="07FAAB0E" w:rsidRPr="42D6601E">
        <w:rPr>
          <w:rFonts w:cs="Arial"/>
        </w:rPr>
        <w:t>guidance</w:t>
      </w:r>
      <w:r w:rsidR="455C2D71" w:rsidRPr="42D6601E">
        <w:rPr>
          <w:rFonts w:cs="Arial"/>
        </w:rPr>
        <w:t xml:space="preserve">, and therefore </w:t>
      </w:r>
      <w:r w:rsidR="07FAAB0E" w:rsidRPr="42D6601E">
        <w:rPr>
          <w:rFonts w:cs="Arial"/>
        </w:rPr>
        <w:t xml:space="preserve">officers have included these where appropriate within the document. </w:t>
      </w:r>
    </w:p>
    <w:p w14:paraId="23C19A45" w14:textId="55481857" w:rsidR="00F64FEB" w:rsidRDefault="00F64FEB" w:rsidP="00D72AAB">
      <w:pPr>
        <w:ind w:left="720" w:hanging="720"/>
        <w:jc w:val="both"/>
        <w:rPr>
          <w:rFonts w:cs="Arial"/>
        </w:rPr>
      </w:pPr>
    </w:p>
    <w:p w14:paraId="0199D2C8" w14:textId="2EB7C4DC" w:rsidR="008745BF" w:rsidRDefault="008745BF" w:rsidP="00CC0360">
      <w:pPr>
        <w:keepNext/>
        <w:ind w:firstLine="720"/>
        <w:jc w:val="both"/>
        <w:rPr>
          <w:b/>
          <w:bCs/>
        </w:rPr>
      </w:pPr>
      <w:r>
        <w:rPr>
          <w:b/>
          <w:bCs/>
        </w:rPr>
        <w:t>Harrow Design Review Panel</w:t>
      </w:r>
      <w:r w:rsidR="00BD024D">
        <w:rPr>
          <w:b/>
          <w:bCs/>
        </w:rPr>
        <w:t xml:space="preserve"> (DRP)</w:t>
      </w:r>
    </w:p>
    <w:p w14:paraId="7C04CE36" w14:textId="5F67DDB5" w:rsidR="008745BF" w:rsidRDefault="008745BF" w:rsidP="00CC0360">
      <w:pPr>
        <w:keepNext/>
        <w:jc w:val="both"/>
        <w:rPr>
          <w:b/>
          <w:bCs/>
        </w:rPr>
      </w:pPr>
    </w:p>
    <w:p w14:paraId="2EB15EC4" w14:textId="1985969B" w:rsidR="008745BF" w:rsidRDefault="006E72AC" w:rsidP="00D72AAB">
      <w:pPr>
        <w:ind w:left="720" w:hanging="720"/>
        <w:jc w:val="both"/>
      </w:pPr>
      <w:r>
        <w:t>4.1</w:t>
      </w:r>
      <w:r w:rsidR="00466121">
        <w:t>1</w:t>
      </w:r>
      <w:r w:rsidR="00B334C6">
        <w:tab/>
      </w:r>
      <w:r w:rsidR="00BD4F5C">
        <w:t xml:space="preserve">Harrow’s Design Review Panel is </w:t>
      </w:r>
      <w:r w:rsidR="00044FAF">
        <w:t xml:space="preserve">a panel </w:t>
      </w:r>
      <w:r w:rsidR="00F0251F">
        <w:t xml:space="preserve">of </w:t>
      </w:r>
      <w:r w:rsidR="008A2E8D">
        <w:t xml:space="preserve">suitably qualified / </w:t>
      </w:r>
      <w:r w:rsidR="00FC7A64">
        <w:t>experienced</w:t>
      </w:r>
      <w:r w:rsidR="008A2E8D">
        <w:t xml:space="preserve"> </w:t>
      </w:r>
      <w:r w:rsidR="00FC7A64">
        <w:t>architects</w:t>
      </w:r>
      <w:r w:rsidR="00297784">
        <w:t xml:space="preserve"> </w:t>
      </w:r>
      <w:r w:rsidR="00BD4F5C">
        <w:t xml:space="preserve">/ development professionals </w:t>
      </w:r>
      <w:r w:rsidR="002900BE">
        <w:t>that provide independent reviews of developments and emerging policy documents. The draft SPD was presented to a panel</w:t>
      </w:r>
      <w:r w:rsidR="00FC0FCB">
        <w:t xml:space="preserve"> comp</w:t>
      </w:r>
      <w:r w:rsidR="008A5231">
        <w:t>r</w:t>
      </w:r>
      <w:r w:rsidR="00FC0FCB">
        <w:t>i</w:t>
      </w:r>
      <w:r w:rsidR="008A5231">
        <w:t>s</w:t>
      </w:r>
      <w:r w:rsidR="00FC0FCB">
        <w:t xml:space="preserve">ed of two architect </w:t>
      </w:r>
      <w:r w:rsidR="008A5231">
        <w:t xml:space="preserve">/ urban design </w:t>
      </w:r>
      <w:r w:rsidR="00E97B41">
        <w:t xml:space="preserve">experts with experience of tall buildings </w:t>
      </w:r>
      <w:r>
        <w:t>developments</w:t>
      </w:r>
      <w:r w:rsidR="008B7DE7">
        <w:t>,</w:t>
      </w:r>
      <w:r w:rsidR="00E97B41">
        <w:t xml:space="preserve"> SPD </w:t>
      </w:r>
      <w:r w:rsidR="00F21199">
        <w:t xml:space="preserve">formulation </w:t>
      </w:r>
      <w:r w:rsidR="008B7DE7">
        <w:t xml:space="preserve">and </w:t>
      </w:r>
      <w:r w:rsidR="002630C9">
        <w:t xml:space="preserve">are also </w:t>
      </w:r>
      <w:bookmarkStart w:id="16" w:name="_Int_aN3cr2CW"/>
      <w:r w:rsidR="002630C9">
        <w:t>very familiar</w:t>
      </w:r>
      <w:bookmarkEnd w:id="16"/>
      <w:r w:rsidR="002630C9">
        <w:t xml:space="preserve"> with the London Borough of Harrow and its character</w:t>
      </w:r>
      <w:r w:rsidR="00E97B41">
        <w:t xml:space="preserve">. </w:t>
      </w:r>
    </w:p>
    <w:p w14:paraId="1F283A1C" w14:textId="317DD1BC" w:rsidR="00D7553F" w:rsidRDefault="00D7553F" w:rsidP="00D72AAB">
      <w:pPr>
        <w:ind w:left="720" w:hanging="720"/>
        <w:jc w:val="both"/>
      </w:pPr>
    </w:p>
    <w:p w14:paraId="42E3E0DB" w14:textId="7A958AA8" w:rsidR="008079DA" w:rsidRDefault="17DC26BD" w:rsidP="11CE1E5C">
      <w:pPr>
        <w:keepNext/>
        <w:ind w:left="720" w:hanging="720"/>
        <w:jc w:val="both"/>
      </w:pPr>
      <w:r>
        <w:t>4.12</w:t>
      </w:r>
      <w:r>
        <w:tab/>
      </w:r>
      <w:r w:rsidR="4C3B74BF">
        <w:t xml:space="preserve">The </w:t>
      </w:r>
      <w:r w:rsidR="5A3ABE9D">
        <w:t>DRP</w:t>
      </w:r>
      <w:r w:rsidR="4362857B">
        <w:t xml:space="preserve"> </w:t>
      </w:r>
      <w:r w:rsidR="7F4D9ADD">
        <w:t xml:space="preserve">reviewed the draft SPD and </w:t>
      </w:r>
      <w:r w:rsidR="4362857B">
        <w:t xml:space="preserve">provided </w:t>
      </w:r>
      <w:r w:rsidR="319C45BF">
        <w:t>several</w:t>
      </w:r>
      <w:r w:rsidR="4362857B">
        <w:t xml:space="preserve"> </w:t>
      </w:r>
      <w:r w:rsidR="7F4D9ADD">
        <w:t>recommendations</w:t>
      </w:r>
      <w:r w:rsidR="392B8E83">
        <w:t xml:space="preserve"> to officers which would assist in improving the </w:t>
      </w:r>
      <w:r w:rsidR="7EB73110">
        <w:t xml:space="preserve">quality </w:t>
      </w:r>
      <w:r w:rsidR="254CE103">
        <w:t xml:space="preserve">and </w:t>
      </w:r>
      <w:r w:rsidR="29F7236E">
        <w:t xml:space="preserve">useability </w:t>
      </w:r>
      <w:r w:rsidR="46C327A8">
        <w:t>of the</w:t>
      </w:r>
      <w:r w:rsidR="0B68C1C7">
        <w:t xml:space="preserve"> </w:t>
      </w:r>
      <w:r w:rsidR="7A878D0F">
        <w:t>SPD</w:t>
      </w:r>
      <w:r w:rsidR="78B3833E">
        <w:t xml:space="preserve">, which will assist in </w:t>
      </w:r>
      <w:bookmarkStart w:id="17" w:name="_Int_xrs32pRy"/>
      <w:r w:rsidR="78B3833E">
        <w:t>its</w:t>
      </w:r>
      <w:bookmarkEnd w:id="17"/>
      <w:r w:rsidR="78B3833E">
        <w:t xml:space="preserve"> </w:t>
      </w:r>
      <w:r w:rsidR="449E6B49">
        <w:t xml:space="preserve">use </w:t>
      </w:r>
      <w:r w:rsidR="0F572689">
        <w:t>in making decision / appeals</w:t>
      </w:r>
      <w:r w:rsidR="0FDDF779">
        <w:t>.</w:t>
      </w:r>
      <w:r w:rsidR="5EA6ED57">
        <w:t xml:space="preserve"> The following provides a summary of the points raised</w:t>
      </w:r>
      <w:r w:rsidR="03397EE6">
        <w:t>:</w:t>
      </w:r>
    </w:p>
    <w:p w14:paraId="3F013C6C" w14:textId="2D77D6F3" w:rsidR="00632C31" w:rsidRDefault="00632C31" w:rsidP="00CC0360">
      <w:pPr>
        <w:keepNext/>
        <w:ind w:left="720" w:hanging="720"/>
        <w:jc w:val="both"/>
      </w:pPr>
    </w:p>
    <w:p w14:paraId="697DE857" w14:textId="54BE837A" w:rsidR="00632C31" w:rsidRPr="00D07339" w:rsidRDefault="1C57ABAA" w:rsidP="00F1268A">
      <w:pPr>
        <w:pStyle w:val="ListParagraph"/>
        <w:numPr>
          <w:ilvl w:val="0"/>
          <w:numId w:val="23"/>
        </w:numPr>
        <w:ind w:left="1418" w:hanging="567"/>
        <w:jc w:val="both"/>
        <w:rPr>
          <w:color w:val="auto"/>
        </w:rPr>
      </w:pPr>
      <w:r w:rsidRPr="42D6601E">
        <w:rPr>
          <w:color w:val="auto"/>
        </w:rPr>
        <w:t xml:space="preserve">The relationship </w:t>
      </w:r>
      <w:r w:rsidR="5A5C1F81" w:rsidRPr="006A6383">
        <w:rPr>
          <w:color w:val="auto"/>
        </w:rPr>
        <w:t xml:space="preserve">between the draft SPD and the draft Small Sites </w:t>
      </w:r>
      <w:r w:rsidR="55F8507F" w:rsidRPr="006A6383">
        <w:rPr>
          <w:color w:val="auto"/>
        </w:rPr>
        <w:t>Design</w:t>
      </w:r>
      <w:r w:rsidR="5A5C1F81" w:rsidRPr="006A6383">
        <w:rPr>
          <w:color w:val="auto"/>
        </w:rPr>
        <w:t xml:space="preserve"> Code SPD should </w:t>
      </w:r>
      <w:r w:rsidR="55F8507F" w:rsidRPr="006A6383">
        <w:rPr>
          <w:color w:val="auto"/>
        </w:rPr>
        <w:t>be clarified. T</w:t>
      </w:r>
      <w:r w:rsidR="21654C6E" w:rsidRPr="006A6383">
        <w:rPr>
          <w:color w:val="auto"/>
        </w:rPr>
        <w:t xml:space="preserve">he draft </w:t>
      </w:r>
      <w:r w:rsidR="2AF5FDAD" w:rsidRPr="006A6383">
        <w:t>Tall Buildings (‘</w:t>
      </w:r>
      <w:r w:rsidR="744E6555" w:rsidRPr="006A6383">
        <w:t>Building</w:t>
      </w:r>
      <w:r w:rsidR="21654C6E" w:rsidRPr="006A6383">
        <w:t xml:space="preserve"> </w:t>
      </w:r>
      <w:r w:rsidR="2AF5FDAD" w:rsidRPr="006A6383">
        <w:t>Heights’</w:t>
      </w:r>
      <w:r w:rsidR="578E19EB" w:rsidRPr="006A6383">
        <w:t xml:space="preserve">) </w:t>
      </w:r>
      <w:r w:rsidR="21654C6E" w:rsidRPr="006A6383">
        <w:rPr>
          <w:color w:val="auto"/>
        </w:rPr>
        <w:t xml:space="preserve">SPD should only provide </w:t>
      </w:r>
      <w:r w:rsidR="744E6555" w:rsidRPr="006A6383">
        <w:rPr>
          <w:color w:val="auto"/>
        </w:rPr>
        <w:t>guidance</w:t>
      </w:r>
      <w:r w:rsidR="21654C6E" w:rsidRPr="006A6383">
        <w:rPr>
          <w:color w:val="auto"/>
        </w:rPr>
        <w:t xml:space="preserve"> specific</w:t>
      </w:r>
      <w:r w:rsidR="21654C6E" w:rsidRPr="42D6601E">
        <w:rPr>
          <w:color w:val="auto"/>
        </w:rPr>
        <w:t xml:space="preserve"> to buildings of height and not gen</w:t>
      </w:r>
      <w:r w:rsidR="744E6555" w:rsidRPr="42D6601E">
        <w:rPr>
          <w:color w:val="auto"/>
        </w:rPr>
        <w:t>er</w:t>
      </w:r>
      <w:r w:rsidR="21654C6E" w:rsidRPr="42D6601E">
        <w:rPr>
          <w:color w:val="auto"/>
        </w:rPr>
        <w:t xml:space="preserve">al </w:t>
      </w:r>
      <w:r w:rsidR="744E6555" w:rsidRPr="42D6601E">
        <w:rPr>
          <w:color w:val="auto"/>
        </w:rPr>
        <w:t xml:space="preserve">design guidance as </w:t>
      </w:r>
      <w:r w:rsidR="27F3719D" w:rsidRPr="42D6601E">
        <w:rPr>
          <w:color w:val="auto"/>
        </w:rPr>
        <w:t xml:space="preserve">these </w:t>
      </w:r>
      <w:r w:rsidR="744E6555" w:rsidRPr="42D6601E">
        <w:rPr>
          <w:color w:val="auto"/>
        </w:rPr>
        <w:t>should be set out in the borough wide design principles within the draft Small Sites Design Code SPD.</w:t>
      </w:r>
      <w:r w:rsidR="58D51C2D" w:rsidRPr="42D6601E">
        <w:rPr>
          <w:color w:val="auto"/>
        </w:rPr>
        <w:t xml:space="preserve"> Additional guidance may need to be included into the draft Small Sites Design Code SPD.</w:t>
      </w:r>
    </w:p>
    <w:p w14:paraId="6293644F" w14:textId="77777777" w:rsidR="00D47825" w:rsidRPr="00D07339" w:rsidRDefault="00D47825" w:rsidP="00F1268A">
      <w:pPr>
        <w:pStyle w:val="ListParagraph"/>
        <w:ind w:left="1418" w:hanging="567"/>
        <w:jc w:val="both"/>
        <w:rPr>
          <w:color w:val="auto"/>
        </w:rPr>
      </w:pPr>
    </w:p>
    <w:p w14:paraId="56D1185B" w14:textId="08EAABD0" w:rsidR="000965A5" w:rsidRPr="00D07339" w:rsidRDefault="34DF5FBA" w:rsidP="00F1268A">
      <w:pPr>
        <w:pStyle w:val="ListParagraph"/>
        <w:numPr>
          <w:ilvl w:val="0"/>
          <w:numId w:val="23"/>
        </w:numPr>
        <w:ind w:left="1418" w:hanging="567"/>
        <w:jc w:val="both"/>
        <w:rPr>
          <w:color w:val="auto"/>
        </w:rPr>
      </w:pPr>
      <w:r w:rsidRPr="11CE1E5C">
        <w:rPr>
          <w:color w:val="auto"/>
        </w:rPr>
        <w:t xml:space="preserve">Setting out a Council Vision for </w:t>
      </w:r>
      <w:r w:rsidR="2F5944A4" w:rsidRPr="11CE1E5C">
        <w:rPr>
          <w:color w:val="auto"/>
        </w:rPr>
        <w:t xml:space="preserve">tall buildings, </w:t>
      </w:r>
      <w:bookmarkStart w:id="18" w:name="_Int_GYP6h9qe"/>
      <w:proofErr w:type="gramStart"/>
      <w:r w:rsidR="2F5944A4" w:rsidRPr="11CE1E5C">
        <w:rPr>
          <w:color w:val="auto"/>
        </w:rPr>
        <w:t>hei</w:t>
      </w:r>
      <w:r w:rsidR="3BED9435" w:rsidRPr="11CE1E5C">
        <w:rPr>
          <w:color w:val="auto"/>
        </w:rPr>
        <w:t>g</w:t>
      </w:r>
      <w:r w:rsidR="2F5944A4" w:rsidRPr="11CE1E5C">
        <w:rPr>
          <w:color w:val="auto"/>
        </w:rPr>
        <w:t>ht</w:t>
      </w:r>
      <w:bookmarkEnd w:id="18"/>
      <w:proofErr w:type="gramEnd"/>
      <w:r w:rsidR="2F5944A4" w:rsidRPr="11CE1E5C">
        <w:rPr>
          <w:color w:val="auto"/>
        </w:rPr>
        <w:t xml:space="preserve"> an</w:t>
      </w:r>
      <w:r w:rsidR="3BED9435" w:rsidRPr="11CE1E5C">
        <w:rPr>
          <w:color w:val="auto"/>
        </w:rPr>
        <w:t>d</w:t>
      </w:r>
      <w:r w:rsidR="2F5944A4" w:rsidRPr="11CE1E5C">
        <w:rPr>
          <w:color w:val="auto"/>
        </w:rPr>
        <w:t xml:space="preserve"> sensitive densification across the</w:t>
      </w:r>
      <w:r w:rsidR="3BED9435" w:rsidRPr="11CE1E5C">
        <w:rPr>
          <w:color w:val="auto"/>
        </w:rPr>
        <w:t xml:space="preserve"> </w:t>
      </w:r>
      <w:r w:rsidR="2F5944A4" w:rsidRPr="11CE1E5C">
        <w:rPr>
          <w:color w:val="auto"/>
        </w:rPr>
        <w:t>bo</w:t>
      </w:r>
      <w:r w:rsidR="3BED9435" w:rsidRPr="11CE1E5C">
        <w:rPr>
          <w:color w:val="auto"/>
        </w:rPr>
        <w:t>roug</w:t>
      </w:r>
      <w:r w:rsidR="2F5944A4" w:rsidRPr="11CE1E5C">
        <w:rPr>
          <w:color w:val="auto"/>
        </w:rPr>
        <w:t xml:space="preserve">h. </w:t>
      </w:r>
      <w:r w:rsidR="3BED9435" w:rsidRPr="11CE1E5C">
        <w:rPr>
          <w:color w:val="auto"/>
        </w:rPr>
        <w:t>It should</w:t>
      </w:r>
      <w:r w:rsidR="2E991F31" w:rsidRPr="11CE1E5C">
        <w:rPr>
          <w:color w:val="auto"/>
        </w:rPr>
        <w:t xml:space="preserve"> outline the general attitude and approach to </w:t>
      </w:r>
      <w:bookmarkStart w:id="19" w:name="_Int_1bxbW5Eh"/>
      <w:proofErr w:type="gramStart"/>
      <w:r w:rsidR="2E991F31" w:rsidRPr="11CE1E5C">
        <w:rPr>
          <w:color w:val="auto"/>
        </w:rPr>
        <w:t>height, and</w:t>
      </w:r>
      <w:bookmarkEnd w:id="19"/>
      <w:proofErr w:type="gramEnd"/>
      <w:r w:rsidR="2E991F31" w:rsidRPr="11CE1E5C">
        <w:rPr>
          <w:color w:val="auto"/>
        </w:rPr>
        <w:t xml:space="preserve"> set out the benefits and </w:t>
      </w:r>
      <w:r w:rsidR="31039A13" w:rsidRPr="11CE1E5C">
        <w:rPr>
          <w:color w:val="auto"/>
        </w:rPr>
        <w:t>disbenefits</w:t>
      </w:r>
      <w:r w:rsidR="2E991F31" w:rsidRPr="11CE1E5C">
        <w:rPr>
          <w:color w:val="auto"/>
        </w:rPr>
        <w:t xml:space="preserve"> of height are for </w:t>
      </w:r>
      <w:r w:rsidR="31039A13" w:rsidRPr="11CE1E5C">
        <w:rPr>
          <w:color w:val="auto"/>
        </w:rPr>
        <w:t>Harrow</w:t>
      </w:r>
      <w:r w:rsidR="2E991F31" w:rsidRPr="11CE1E5C">
        <w:rPr>
          <w:color w:val="auto"/>
        </w:rPr>
        <w:t xml:space="preserve">. </w:t>
      </w:r>
      <w:r w:rsidR="31039A13" w:rsidRPr="11CE1E5C">
        <w:rPr>
          <w:color w:val="auto"/>
        </w:rPr>
        <w:t>This could also include a vision for how families can live comfortably and well in taller buildings</w:t>
      </w:r>
      <w:r w:rsidR="46FC3CCC" w:rsidRPr="11CE1E5C">
        <w:rPr>
          <w:color w:val="auto"/>
        </w:rPr>
        <w:t xml:space="preserve">. </w:t>
      </w:r>
    </w:p>
    <w:p w14:paraId="53A8BA5A" w14:textId="77777777" w:rsidR="0059332A" w:rsidRPr="00D07339" w:rsidRDefault="0059332A" w:rsidP="00F1268A">
      <w:pPr>
        <w:pStyle w:val="ListParagraph"/>
        <w:ind w:left="1418" w:hanging="567"/>
        <w:rPr>
          <w:color w:val="auto"/>
        </w:rPr>
      </w:pPr>
    </w:p>
    <w:p w14:paraId="08698890" w14:textId="27354323" w:rsidR="0059332A" w:rsidRPr="00D07339" w:rsidRDefault="08764048" w:rsidP="00F1268A">
      <w:pPr>
        <w:pStyle w:val="ListParagraph"/>
        <w:numPr>
          <w:ilvl w:val="0"/>
          <w:numId w:val="23"/>
        </w:numPr>
        <w:ind w:left="1418" w:hanging="567"/>
        <w:jc w:val="both"/>
        <w:rPr>
          <w:color w:val="auto"/>
        </w:rPr>
      </w:pPr>
      <w:r w:rsidRPr="11CE1E5C">
        <w:rPr>
          <w:color w:val="auto"/>
        </w:rPr>
        <w:t xml:space="preserve">The SPD should make best use of case studies and precedents, using those from across London as opposed to simply within the borough, </w:t>
      </w:r>
      <w:bookmarkStart w:id="20" w:name="_Int_K1croG1c"/>
      <w:proofErr w:type="gramStart"/>
      <w:r w:rsidRPr="11CE1E5C">
        <w:rPr>
          <w:color w:val="auto"/>
        </w:rPr>
        <w:t>so as to</w:t>
      </w:r>
      <w:bookmarkEnd w:id="20"/>
      <w:proofErr w:type="gramEnd"/>
      <w:r w:rsidRPr="11CE1E5C">
        <w:rPr>
          <w:color w:val="auto"/>
        </w:rPr>
        <w:t xml:space="preserve"> better illustrate guidance points and set high aspirations for future development.</w:t>
      </w:r>
    </w:p>
    <w:p w14:paraId="37095DB8" w14:textId="77777777" w:rsidR="005A78E8" w:rsidRPr="00D07339" w:rsidRDefault="005A78E8" w:rsidP="00F1268A">
      <w:pPr>
        <w:pStyle w:val="ListParagraph"/>
        <w:ind w:left="1418" w:hanging="567"/>
        <w:rPr>
          <w:color w:val="auto"/>
        </w:rPr>
      </w:pPr>
    </w:p>
    <w:p w14:paraId="415D6570" w14:textId="1639068A" w:rsidR="005A78E8" w:rsidRPr="00D07339" w:rsidRDefault="69B8C0FD" w:rsidP="00F1268A">
      <w:pPr>
        <w:pStyle w:val="ListParagraph"/>
        <w:numPr>
          <w:ilvl w:val="0"/>
          <w:numId w:val="23"/>
        </w:numPr>
        <w:ind w:left="1418" w:hanging="567"/>
        <w:jc w:val="both"/>
        <w:rPr>
          <w:color w:val="auto"/>
        </w:rPr>
      </w:pPr>
      <w:r w:rsidRPr="11CE1E5C">
        <w:rPr>
          <w:color w:val="auto"/>
        </w:rPr>
        <w:t>A review of the document to ensure that terminology is consistent, and terms that are used are defensible when / if scrutinised by applicants.</w:t>
      </w:r>
    </w:p>
    <w:p w14:paraId="73734799" w14:textId="77777777" w:rsidR="00445C62" w:rsidRPr="00D07339" w:rsidRDefault="00445C62" w:rsidP="00F1268A">
      <w:pPr>
        <w:pStyle w:val="ListParagraph"/>
        <w:ind w:left="1418" w:hanging="567"/>
        <w:rPr>
          <w:color w:val="auto"/>
        </w:rPr>
      </w:pPr>
    </w:p>
    <w:p w14:paraId="24BCA0D8" w14:textId="01CC0BAA" w:rsidR="00445C62" w:rsidRPr="00D07339" w:rsidRDefault="061D1B37" w:rsidP="00F1268A">
      <w:pPr>
        <w:pStyle w:val="ListParagraph"/>
        <w:numPr>
          <w:ilvl w:val="0"/>
          <w:numId w:val="23"/>
        </w:numPr>
        <w:ind w:left="1418" w:hanging="567"/>
        <w:jc w:val="both"/>
        <w:rPr>
          <w:color w:val="auto"/>
        </w:rPr>
      </w:pPr>
      <w:r w:rsidRPr="11CE1E5C">
        <w:rPr>
          <w:color w:val="auto"/>
        </w:rPr>
        <w:t>Officers are advised to simplify design guidance theme headings and provide a clear definition for what these mean in the explanatory text</w:t>
      </w:r>
      <w:r w:rsidR="1AEA6B14" w:rsidRPr="11CE1E5C">
        <w:rPr>
          <w:color w:val="auto"/>
        </w:rPr>
        <w:t>.</w:t>
      </w:r>
    </w:p>
    <w:p w14:paraId="67209282" w14:textId="77777777" w:rsidR="00AD379A" w:rsidRPr="00D07339" w:rsidRDefault="00AD379A" w:rsidP="00F1268A">
      <w:pPr>
        <w:pStyle w:val="ListParagraph"/>
        <w:ind w:left="1418" w:hanging="567"/>
        <w:rPr>
          <w:color w:val="auto"/>
        </w:rPr>
      </w:pPr>
    </w:p>
    <w:p w14:paraId="678ABA59" w14:textId="1799371A" w:rsidR="00445C62" w:rsidRPr="00D07339" w:rsidRDefault="7D09B833" w:rsidP="00F1268A">
      <w:pPr>
        <w:pStyle w:val="ListParagraph"/>
        <w:numPr>
          <w:ilvl w:val="0"/>
          <w:numId w:val="23"/>
        </w:numPr>
        <w:ind w:left="1418" w:hanging="567"/>
        <w:jc w:val="both"/>
        <w:rPr>
          <w:color w:val="auto"/>
        </w:rPr>
      </w:pPr>
      <w:r w:rsidRPr="11CE1E5C">
        <w:rPr>
          <w:color w:val="auto"/>
        </w:rPr>
        <w:t>Design guidance text should be condensed and made simpler. Certain guidance points are overly long and ill-defined and should be revised to provide succinct points which offer a clear steer to design teams using the SPD</w:t>
      </w:r>
    </w:p>
    <w:p w14:paraId="18C4E756" w14:textId="77777777" w:rsidR="00B66B86" w:rsidRPr="00D07339" w:rsidRDefault="00B66B86" w:rsidP="00F1268A">
      <w:pPr>
        <w:pStyle w:val="ListParagraph"/>
        <w:ind w:left="1418" w:hanging="567"/>
        <w:rPr>
          <w:color w:val="auto"/>
        </w:rPr>
      </w:pPr>
    </w:p>
    <w:p w14:paraId="6BE3AF31" w14:textId="3FCC1B72" w:rsidR="00B66B86" w:rsidRPr="00D07339" w:rsidRDefault="602ECE59" w:rsidP="00F1268A">
      <w:pPr>
        <w:pStyle w:val="ListParagraph"/>
        <w:numPr>
          <w:ilvl w:val="0"/>
          <w:numId w:val="23"/>
        </w:numPr>
        <w:ind w:left="1418" w:hanging="567"/>
        <w:jc w:val="both"/>
        <w:rPr>
          <w:color w:val="auto"/>
        </w:rPr>
      </w:pPr>
      <w:r w:rsidRPr="11CE1E5C">
        <w:rPr>
          <w:color w:val="auto"/>
        </w:rPr>
        <w:t>The graphic design</w:t>
      </w:r>
      <w:r w:rsidR="7855CC1F" w:rsidRPr="11CE1E5C">
        <w:rPr>
          <w:color w:val="auto"/>
        </w:rPr>
        <w:t xml:space="preserve"> of the draft </w:t>
      </w:r>
      <w:r w:rsidR="61E8C892" w:rsidRPr="11CE1E5C">
        <w:rPr>
          <w:color w:val="auto"/>
        </w:rPr>
        <w:t xml:space="preserve">SPD </w:t>
      </w:r>
      <w:r w:rsidR="78390409" w:rsidRPr="11CE1E5C">
        <w:rPr>
          <w:color w:val="auto"/>
        </w:rPr>
        <w:t>fe</w:t>
      </w:r>
      <w:r w:rsidR="7BD7F50F" w:rsidRPr="11CE1E5C">
        <w:rPr>
          <w:color w:val="auto"/>
        </w:rPr>
        <w:t>e</w:t>
      </w:r>
      <w:r w:rsidR="78390409" w:rsidRPr="11CE1E5C">
        <w:rPr>
          <w:color w:val="auto"/>
        </w:rPr>
        <w:t xml:space="preserve">ls over-designed in </w:t>
      </w:r>
      <w:r w:rsidR="7BD7F50F" w:rsidRPr="11CE1E5C">
        <w:rPr>
          <w:color w:val="auto"/>
        </w:rPr>
        <w:t>places</w:t>
      </w:r>
      <w:r w:rsidR="78390409" w:rsidRPr="11CE1E5C">
        <w:rPr>
          <w:color w:val="auto"/>
        </w:rPr>
        <w:t xml:space="preserve"> </w:t>
      </w:r>
      <w:r w:rsidR="7BD7F50F" w:rsidRPr="11CE1E5C">
        <w:rPr>
          <w:color w:val="auto"/>
        </w:rPr>
        <w:t>and</w:t>
      </w:r>
      <w:r w:rsidR="78390409" w:rsidRPr="11CE1E5C">
        <w:rPr>
          <w:color w:val="auto"/>
        </w:rPr>
        <w:t xml:space="preserve"> certain sections are </w:t>
      </w:r>
      <w:r w:rsidR="7BD7F50F" w:rsidRPr="11CE1E5C">
        <w:rPr>
          <w:color w:val="auto"/>
        </w:rPr>
        <w:t>difficult</w:t>
      </w:r>
      <w:r w:rsidR="78390409" w:rsidRPr="11CE1E5C">
        <w:rPr>
          <w:color w:val="auto"/>
        </w:rPr>
        <w:t xml:space="preserve"> to read due to the large amount </w:t>
      </w:r>
      <w:r w:rsidR="7BD7F50F" w:rsidRPr="11CE1E5C">
        <w:rPr>
          <w:color w:val="auto"/>
        </w:rPr>
        <w:t>of</w:t>
      </w:r>
      <w:r w:rsidR="78390409" w:rsidRPr="11CE1E5C">
        <w:rPr>
          <w:color w:val="auto"/>
        </w:rPr>
        <w:t xml:space="preserve"> information.</w:t>
      </w:r>
      <w:r w:rsidR="38B9D524" w:rsidRPr="11CE1E5C">
        <w:rPr>
          <w:color w:val="auto"/>
        </w:rPr>
        <w:t xml:space="preserve"> It is advised to bring a graphic designer on board to provide a graphic template for the document</w:t>
      </w:r>
      <w:r w:rsidR="0745FF3F" w:rsidRPr="11CE1E5C">
        <w:rPr>
          <w:color w:val="auto"/>
        </w:rPr>
        <w:t>.</w:t>
      </w:r>
    </w:p>
    <w:p w14:paraId="50BDAB03" w14:textId="77777777" w:rsidR="0036163C" w:rsidRPr="00D07339" w:rsidRDefault="0036163C" w:rsidP="00F1268A">
      <w:pPr>
        <w:pStyle w:val="ListParagraph"/>
        <w:ind w:left="1418" w:hanging="567"/>
        <w:rPr>
          <w:color w:val="auto"/>
        </w:rPr>
      </w:pPr>
    </w:p>
    <w:p w14:paraId="1445B1AB" w14:textId="3F7EC51C" w:rsidR="0036163C" w:rsidRPr="00D07339" w:rsidRDefault="5514B31C" w:rsidP="00F1268A">
      <w:pPr>
        <w:pStyle w:val="ListParagraph"/>
        <w:numPr>
          <w:ilvl w:val="0"/>
          <w:numId w:val="23"/>
        </w:numPr>
        <w:ind w:left="1418" w:hanging="567"/>
        <w:jc w:val="both"/>
        <w:rPr>
          <w:color w:val="auto"/>
        </w:rPr>
      </w:pPr>
      <w:r w:rsidRPr="11CE1E5C">
        <w:rPr>
          <w:color w:val="auto"/>
        </w:rPr>
        <w:lastRenderedPageBreak/>
        <w:t xml:space="preserve">More guidance / </w:t>
      </w:r>
      <w:r w:rsidR="197B6128" w:rsidRPr="11CE1E5C">
        <w:rPr>
          <w:color w:val="auto"/>
        </w:rPr>
        <w:t>greater emphasis on family living</w:t>
      </w:r>
      <w:r w:rsidR="48313850" w:rsidRPr="11CE1E5C">
        <w:rPr>
          <w:color w:val="auto"/>
        </w:rPr>
        <w:t xml:space="preserve">, in terms of </w:t>
      </w:r>
      <w:r w:rsidR="360506E8" w:rsidRPr="11CE1E5C">
        <w:rPr>
          <w:color w:val="auto"/>
        </w:rPr>
        <w:t>appropriate</w:t>
      </w:r>
      <w:r w:rsidR="48313850" w:rsidRPr="11CE1E5C">
        <w:rPr>
          <w:color w:val="auto"/>
        </w:rPr>
        <w:t xml:space="preserve"> locations for family sized homes</w:t>
      </w:r>
      <w:r w:rsidR="360506E8" w:rsidRPr="11CE1E5C">
        <w:rPr>
          <w:color w:val="auto"/>
        </w:rPr>
        <w:t>, addit</w:t>
      </w:r>
      <w:r w:rsidR="781CB394" w:rsidRPr="11CE1E5C">
        <w:rPr>
          <w:color w:val="auto"/>
        </w:rPr>
        <w:t>i</w:t>
      </w:r>
      <w:r w:rsidR="360506E8" w:rsidRPr="11CE1E5C">
        <w:rPr>
          <w:color w:val="auto"/>
        </w:rPr>
        <w:t>on</w:t>
      </w:r>
      <w:r w:rsidR="39353965" w:rsidRPr="11CE1E5C">
        <w:rPr>
          <w:color w:val="auto"/>
        </w:rPr>
        <w:t>a</w:t>
      </w:r>
      <w:r w:rsidR="360506E8" w:rsidRPr="11CE1E5C">
        <w:rPr>
          <w:color w:val="auto"/>
        </w:rPr>
        <w:t xml:space="preserve">l guidance on play space. </w:t>
      </w:r>
    </w:p>
    <w:p w14:paraId="102FA2B7" w14:textId="77777777" w:rsidR="00BE1385" w:rsidRPr="00D07339" w:rsidRDefault="00BE1385" w:rsidP="00F1268A">
      <w:pPr>
        <w:pStyle w:val="ListParagraph"/>
        <w:ind w:left="1418" w:hanging="567"/>
        <w:rPr>
          <w:color w:val="auto"/>
        </w:rPr>
      </w:pPr>
    </w:p>
    <w:p w14:paraId="4AC8B0B3" w14:textId="74179A01" w:rsidR="00BE1385" w:rsidRPr="00D07339" w:rsidRDefault="360506E8" w:rsidP="00F1268A">
      <w:pPr>
        <w:pStyle w:val="ListParagraph"/>
        <w:numPr>
          <w:ilvl w:val="0"/>
          <w:numId w:val="23"/>
        </w:numPr>
        <w:ind w:left="1418" w:hanging="567"/>
        <w:jc w:val="both"/>
        <w:rPr>
          <w:color w:val="auto"/>
        </w:rPr>
      </w:pPr>
      <w:r w:rsidRPr="11CE1E5C">
        <w:rPr>
          <w:color w:val="auto"/>
        </w:rPr>
        <w:t xml:space="preserve">The feedback provided </w:t>
      </w:r>
      <w:bookmarkStart w:id="21" w:name="_Int_AK6EJA6g"/>
      <w:proofErr w:type="gramStart"/>
      <w:r w:rsidRPr="11CE1E5C">
        <w:rPr>
          <w:color w:val="auto"/>
        </w:rPr>
        <w:t>a number of</w:t>
      </w:r>
      <w:bookmarkEnd w:id="21"/>
      <w:proofErr w:type="gramEnd"/>
      <w:r w:rsidRPr="11CE1E5C">
        <w:rPr>
          <w:color w:val="auto"/>
        </w:rPr>
        <w:t xml:space="preserve"> comments in relation to amendments to specific guidance around use of terminology. </w:t>
      </w:r>
    </w:p>
    <w:p w14:paraId="63CB0A67" w14:textId="7F5AF78B" w:rsidR="00731546" w:rsidRDefault="00731546" w:rsidP="00D72AAB">
      <w:pPr>
        <w:ind w:left="720" w:hanging="720"/>
        <w:jc w:val="both"/>
      </w:pPr>
    </w:p>
    <w:p w14:paraId="5FD77F70" w14:textId="04D8FE00" w:rsidR="00731546" w:rsidRDefault="7FDE9F1B" w:rsidP="00D72AAB">
      <w:pPr>
        <w:ind w:left="720" w:hanging="720"/>
        <w:jc w:val="both"/>
      </w:pPr>
      <w:r>
        <w:t>4.1</w:t>
      </w:r>
      <w:r w:rsidR="00B03B69">
        <w:t>3</w:t>
      </w:r>
      <w:r>
        <w:tab/>
      </w:r>
      <w:r w:rsidR="29D74AD8">
        <w:t xml:space="preserve">Officers will </w:t>
      </w:r>
      <w:r w:rsidR="3B1EE6C5">
        <w:t xml:space="preserve">present the final draft </w:t>
      </w:r>
      <w:r w:rsidR="00F95815">
        <w:t xml:space="preserve">SPD </w:t>
      </w:r>
      <w:r w:rsidR="3B1EE6C5">
        <w:t xml:space="preserve">to the DRP prior to </w:t>
      </w:r>
      <w:r w:rsidR="00291929">
        <w:t xml:space="preserve">its </w:t>
      </w:r>
      <w:r w:rsidR="51AB4B61">
        <w:t xml:space="preserve">formal consultation. </w:t>
      </w:r>
    </w:p>
    <w:p w14:paraId="5529FD85" w14:textId="46EFB0EE" w:rsidR="00E97B41" w:rsidRDefault="00E97B41" w:rsidP="00D72AAB">
      <w:pPr>
        <w:ind w:left="720" w:hanging="720"/>
        <w:jc w:val="both"/>
      </w:pPr>
    </w:p>
    <w:p w14:paraId="6D270789" w14:textId="2A1BFEAB" w:rsidR="00AA0170" w:rsidRPr="00A07A3A" w:rsidRDefault="00160ED5" w:rsidP="00A07A3A">
      <w:pPr>
        <w:keepNext/>
        <w:ind w:left="567"/>
        <w:jc w:val="both"/>
        <w:rPr>
          <w:b/>
          <w:bCs/>
          <w:sz w:val="28"/>
          <w:szCs w:val="28"/>
        </w:rPr>
      </w:pPr>
      <w:r w:rsidRPr="00A07A3A">
        <w:rPr>
          <w:b/>
          <w:bCs/>
          <w:sz w:val="28"/>
          <w:szCs w:val="28"/>
        </w:rPr>
        <w:t xml:space="preserve">Internal consultation </w:t>
      </w:r>
    </w:p>
    <w:p w14:paraId="61D5909B" w14:textId="32C292F7" w:rsidR="00160ED5" w:rsidRDefault="00160ED5" w:rsidP="00A07A3A">
      <w:pPr>
        <w:keepNext/>
        <w:jc w:val="both"/>
        <w:rPr>
          <w:b/>
          <w:bCs/>
        </w:rPr>
      </w:pPr>
    </w:p>
    <w:p w14:paraId="6D8CE744" w14:textId="5721F8BF" w:rsidR="006E72AC" w:rsidRDefault="2FE3C915" w:rsidP="11CE1E5C">
      <w:pPr>
        <w:ind w:left="720" w:hanging="720"/>
        <w:jc w:val="both"/>
      </w:pPr>
      <w:r>
        <w:t>4.1</w:t>
      </w:r>
      <w:r w:rsidR="00B03B69">
        <w:t>4</w:t>
      </w:r>
      <w:r>
        <w:tab/>
      </w:r>
      <w:r w:rsidR="5AA37C6C">
        <w:t>I</w:t>
      </w:r>
      <w:r w:rsidR="29554A5E">
        <w:t>nternal</w:t>
      </w:r>
      <w:r w:rsidR="6EDD9A2B">
        <w:t xml:space="preserve"> Harrow departments have been </w:t>
      </w:r>
      <w:r w:rsidR="04546B77">
        <w:t>consulted</w:t>
      </w:r>
      <w:r w:rsidR="6EDD9A2B">
        <w:t xml:space="preserve"> in the process of drafting the guidance and images for the SPD</w:t>
      </w:r>
      <w:r w:rsidR="5A0E2BD3">
        <w:t xml:space="preserve">, by reason of </w:t>
      </w:r>
      <w:r w:rsidR="11381CE6">
        <w:t>potential densi</w:t>
      </w:r>
      <w:r w:rsidR="25E214E3">
        <w:t>ties</w:t>
      </w:r>
      <w:r w:rsidR="11381CE6">
        <w:t xml:space="preserve"> of such schemes</w:t>
      </w:r>
      <w:r w:rsidR="5A0E2BD3">
        <w:t xml:space="preserve"> having potential impact</w:t>
      </w:r>
      <w:r w:rsidR="706D8148">
        <w:t xml:space="preserve">s / servicing requirements on </w:t>
      </w:r>
      <w:r w:rsidR="7A9DDEC9">
        <w:t>several</w:t>
      </w:r>
      <w:r w:rsidR="706D8148">
        <w:t xml:space="preserve"> services </w:t>
      </w:r>
      <w:r w:rsidR="0AD59373">
        <w:t xml:space="preserve">provided </w:t>
      </w:r>
      <w:r w:rsidR="706D8148">
        <w:t>by the Council.</w:t>
      </w:r>
      <w:r w:rsidR="5CCFA295">
        <w:t xml:space="preserve"> Specifically, the following </w:t>
      </w:r>
      <w:bookmarkStart w:id="22" w:name="_Int_uuCeUJqU"/>
      <w:proofErr w:type="gramStart"/>
      <w:r w:rsidR="5CCFA295">
        <w:t>were</w:t>
      </w:r>
      <w:bookmarkEnd w:id="22"/>
      <w:proofErr w:type="gramEnd"/>
      <w:r w:rsidR="5CCFA295">
        <w:t xml:space="preserve"> </w:t>
      </w:r>
      <w:r w:rsidR="4983F2FC">
        <w:t xml:space="preserve">internal departments were </w:t>
      </w:r>
      <w:r w:rsidR="5CCFA295">
        <w:t>consulted</w:t>
      </w:r>
      <w:r w:rsidR="4983F2FC">
        <w:t>;</w:t>
      </w:r>
    </w:p>
    <w:p w14:paraId="3D0A30E5" w14:textId="4B029B08" w:rsidR="003130E2" w:rsidRDefault="003130E2" w:rsidP="00D72AAB">
      <w:pPr>
        <w:ind w:left="720" w:hanging="720"/>
        <w:jc w:val="both"/>
      </w:pPr>
    </w:p>
    <w:p w14:paraId="13424F01" w14:textId="14522FBC" w:rsidR="005C1F5E" w:rsidRDefault="005C1F5E" w:rsidP="00D72AAB">
      <w:pPr>
        <w:pStyle w:val="ListParagraph"/>
        <w:numPr>
          <w:ilvl w:val="0"/>
          <w:numId w:val="19"/>
        </w:numPr>
        <w:jc w:val="both"/>
      </w:pPr>
      <w:r>
        <w:t>Development Management (x2)</w:t>
      </w:r>
    </w:p>
    <w:p w14:paraId="3E025394" w14:textId="31A1478A" w:rsidR="003130E2" w:rsidRDefault="005C1F5E" w:rsidP="00D72AAB">
      <w:pPr>
        <w:pStyle w:val="ListParagraph"/>
        <w:numPr>
          <w:ilvl w:val="0"/>
          <w:numId w:val="19"/>
        </w:numPr>
        <w:jc w:val="both"/>
      </w:pPr>
      <w:r>
        <w:t>Highways Authority</w:t>
      </w:r>
    </w:p>
    <w:p w14:paraId="63403795" w14:textId="093CAA88" w:rsidR="005C1F5E" w:rsidRDefault="005C1F5E" w:rsidP="00D72AAB">
      <w:pPr>
        <w:pStyle w:val="ListParagraph"/>
        <w:numPr>
          <w:ilvl w:val="0"/>
          <w:numId w:val="19"/>
        </w:numPr>
        <w:jc w:val="both"/>
      </w:pPr>
      <w:r>
        <w:t>Waste Authority</w:t>
      </w:r>
    </w:p>
    <w:p w14:paraId="7766DE12" w14:textId="1B8ECFC5" w:rsidR="005C1F5E" w:rsidRDefault="005C1F5E" w:rsidP="00D72AAB">
      <w:pPr>
        <w:pStyle w:val="ListParagraph"/>
        <w:numPr>
          <w:ilvl w:val="0"/>
          <w:numId w:val="19"/>
        </w:numPr>
        <w:jc w:val="both"/>
      </w:pPr>
      <w:r>
        <w:t xml:space="preserve">Drainage </w:t>
      </w:r>
      <w:r w:rsidR="006C77CC">
        <w:t>Authority</w:t>
      </w:r>
    </w:p>
    <w:p w14:paraId="0E4F08BC" w14:textId="0226F3FC" w:rsidR="005C1F5E" w:rsidRDefault="005C1F5E" w:rsidP="00D72AAB">
      <w:pPr>
        <w:pStyle w:val="ListParagraph"/>
        <w:numPr>
          <w:ilvl w:val="0"/>
          <w:numId w:val="19"/>
        </w:numPr>
        <w:jc w:val="both"/>
      </w:pPr>
      <w:r>
        <w:t>Environmental Health</w:t>
      </w:r>
    </w:p>
    <w:p w14:paraId="2B6AC225" w14:textId="3F9B1B4B" w:rsidR="005C1F5E" w:rsidRPr="006E72AC" w:rsidRDefault="00647172" w:rsidP="00D72AAB">
      <w:pPr>
        <w:pStyle w:val="ListParagraph"/>
        <w:numPr>
          <w:ilvl w:val="0"/>
          <w:numId w:val="19"/>
        </w:numPr>
        <w:jc w:val="both"/>
      </w:pPr>
      <w:r>
        <w:t>Landscape</w:t>
      </w:r>
      <w:r w:rsidR="00E2391B">
        <w:t xml:space="preserve"> / Biodiversity</w:t>
      </w:r>
    </w:p>
    <w:p w14:paraId="09797681" w14:textId="410513E0" w:rsidR="00A87F98" w:rsidRDefault="00A87F98" w:rsidP="00D72AAB">
      <w:pPr>
        <w:autoSpaceDE w:val="0"/>
        <w:autoSpaceDN w:val="0"/>
        <w:adjustRightInd w:val="0"/>
        <w:ind w:left="720" w:hanging="720"/>
        <w:jc w:val="both"/>
        <w:rPr>
          <w:rFonts w:cstheme="minorHAnsi"/>
        </w:rPr>
      </w:pPr>
    </w:p>
    <w:p w14:paraId="7AD841E0" w14:textId="29D14DDC" w:rsidR="00E314B6" w:rsidRDefault="00466121" w:rsidP="00D72AAB">
      <w:pPr>
        <w:autoSpaceDE w:val="0"/>
        <w:autoSpaceDN w:val="0"/>
        <w:adjustRightInd w:val="0"/>
        <w:ind w:left="720" w:hanging="720"/>
        <w:jc w:val="both"/>
        <w:rPr>
          <w:rFonts w:cstheme="minorBidi"/>
        </w:rPr>
      </w:pPr>
      <w:r w:rsidRPr="1881E921">
        <w:rPr>
          <w:rFonts w:cstheme="minorBidi"/>
        </w:rPr>
        <w:t>4.1</w:t>
      </w:r>
      <w:r w:rsidR="00B03B69">
        <w:rPr>
          <w:rFonts w:cstheme="minorBidi"/>
        </w:rPr>
        <w:t>5</w:t>
      </w:r>
      <w:r w:rsidR="008018BD">
        <w:tab/>
      </w:r>
      <w:r w:rsidR="00512048" w:rsidRPr="1881E921">
        <w:rPr>
          <w:rFonts w:cstheme="minorBidi"/>
        </w:rPr>
        <w:t>The above service providers / department</w:t>
      </w:r>
      <w:r w:rsidR="00643B27" w:rsidRPr="1881E921">
        <w:rPr>
          <w:rFonts w:cstheme="minorBidi"/>
        </w:rPr>
        <w:t xml:space="preserve">s have been </w:t>
      </w:r>
      <w:r w:rsidR="007E50E5" w:rsidRPr="1881E921">
        <w:rPr>
          <w:rFonts w:cstheme="minorBidi"/>
        </w:rPr>
        <w:t xml:space="preserve">all </w:t>
      </w:r>
      <w:r w:rsidR="009A3392" w:rsidRPr="1881E921">
        <w:rPr>
          <w:rFonts w:cstheme="minorBidi"/>
        </w:rPr>
        <w:t>engaged</w:t>
      </w:r>
      <w:r w:rsidR="007E50E5" w:rsidRPr="1881E921">
        <w:rPr>
          <w:rFonts w:cstheme="minorBidi"/>
        </w:rPr>
        <w:t xml:space="preserve"> in informal </w:t>
      </w:r>
      <w:r w:rsidR="009A3392" w:rsidRPr="1881E921">
        <w:rPr>
          <w:rFonts w:cstheme="minorBidi"/>
        </w:rPr>
        <w:t>discussions</w:t>
      </w:r>
      <w:r w:rsidR="007E50E5" w:rsidRPr="1881E921">
        <w:rPr>
          <w:rFonts w:cstheme="minorBidi"/>
        </w:rPr>
        <w:t xml:space="preserve"> throughout the drafting of the SPD, providing useful feedback in relation to the issues that their services face when dealing with </w:t>
      </w:r>
      <w:r w:rsidR="009A3392" w:rsidRPr="1881E921">
        <w:rPr>
          <w:rFonts w:cstheme="minorBidi"/>
        </w:rPr>
        <w:t xml:space="preserve">tall buildings. The guidance </w:t>
      </w:r>
      <w:r w:rsidR="00494CA9" w:rsidRPr="1881E921">
        <w:rPr>
          <w:rFonts w:cstheme="minorBidi"/>
        </w:rPr>
        <w:t xml:space="preserve">has been drafted to take into consideration where appropriate comments </w:t>
      </w:r>
      <w:r w:rsidR="00772597" w:rsidRPr="1881E921">
        <w:rPr>
          <w:rFonts w:cstheme="minorBidi"/>
        </w:rPr>
        <w:t xml:space="preserve">received from the departments listed above. Officers will </w:t>
      </w:r>
      <w:r w:rsidR="00812473" w:rsidRPr="1881E921">
        <w:rPr>
          <w:rFonts w:cstheme="minorBidi"/>
        </w:rPr>
        <w:t xml:space="preserve">continue to </w:t>
      </w:r>
      <w:r w:rsidR="00772597" w:rsidRPr="1881E921">
        <w:rPr>
          <w:rFonts w:cstheme="minorBidi"/>
        </w:rPr>
        <w:t xml:space="preserve">consult these departments / service </w:t>
      </w:r>
      <w:r w:rsidR="00EB69FC" w:rsidRPr="1881E921">
        <w:rPr>
          <w:rFonts w:cstheme="minorBidi"/>
        </w:rPr>
        <w:t xml:space="preserve">as the draft SPD develops, </w:t>
      </w:r>
      <w:r w:rsidR="31E6D9EC" w:rsidRPr="1881E921">
        <w:rPr>
          <w:rFonts w:cstheme="minorBidi"/>
        </w:rPr>
        <w:t>including any</w:t>
      </w:r>
      <w:r w:rsidR="009A1791" w:rsidRPr="1881E921">
        <w:rPr>
          <w:rFonts w:cstheme="minorBidi"/>
        </w:rPr>
        <w:t xml:space="preserve"> potential changes arising from the formal consultation process (if agreed to by Cabinet)</w:t>
      </w:r>
      <w:r w:rsidR="004124D4" w:rsidRPr="1881E921">
        <w:rPr>
          <w:rFonts w:cstheme="minorBidi"/>
        </w:rPr>
        <w:t>.</w:t>
      </w:r>
    </w:p>
    <w:p w14:paraId="276C9609" w14:textId="77777777" w:rsidR="00E96F6E" w:rsidRDefault="00E96F6E" w:rsidP="00D72AAB">
      <w:pPr>
        <w:autoSpaceDE w:val="0"/>
        <w:autoSpaceDN w:val="0"/>
        <w:adjustRightInd w:val="0"/>
        <w:ind w:left="720" w:hanging="720"/>
        <w:jc w:val="both"/>
        <w:rPr>
          <w:rFonts w:cstheme="minorHAnsi"/>
        </w:rPr>
      </w:pPr>
    </w:p>
    <w:p w14:paraId="0F8CC1BB" w14:textId="0CE983BB" w:rsidR="00E96F6E" w:rsidRPr="00A07A3A" w:rsidRDefault="009033B1" w:rsidP="00A07A3A">
      <w:pPr>
        <w:keepNext/>
        <w:autoSpaceDE w:val="0"/>
        <w:autoSpaceDN w:val="0"/>
        <w:adjustRightInd w:val="0"/>
        <w:ind w:left="1440" w:hanging="720"/>
        <w:jc w:val="both"/>
        <w:rPr>
          <w:rFonts w:cstheme="minorHAnsi"/>
          <w:b/>
          <w:bCs/>
          <w:sz w:val="28"/>
          <w:szCs w:val="28"/>
        </w:rPr>
      </w:pPr>
      <w:r w:rsidRPr="00A07A3A">
        <w:rPr>
          <w:rFonts w:cstheme="minorHAnsi"/>
          <w:b/>
          <w:bCs/>
          <w:sz w:val="28"/>
          <w:szCs w:val="28"/>
        </w:rPr>
        <w:t>Formal Consultation</w:t>
      </w:r>
    </w:p>
    <w:p w14:paraId="4DF61514" w14:textId="77777777" w:rsidR="009033B1" w:rsidRPr="009033B1" w:rsidRDefault="009033B1" w:rsidP="00A07A3A">
      <w:pPr>
        <w:keepNext/>
        <w:autoSpaceDE w:val="0"/>
        <w:autoSpaceDN w:val="0"/>
        <w:adjustRightInd w:val="0"/>
        <w:ind w:left="720" w:hanging="720"/>
        <w:jc w:val="both"/>
        <w:rPr>
          <w:rFonts w:cstheme="minorHAnsi"/>
          <w:b/>
          <w:bCs/>
        </w:rPr>
      </w:pPr>
    </w:p>
    <w:p w14:paraId="3AA8BABE" w14:textId="151D76DC" w:rsidR="003C3F59" w:rsidRDefault="009033B1" w:rsidP="00D72AAB">
      <w:pPr>
        <w:autoSpaceDE w:val="0"/>
        <w:autoSpaceDN w:val="0"/>
        <w:adjustRightInd w:val="0"/>
        <w:ind w:left="720" w:hanging="720"/>
        <w:jc w:val="both"/>
        <w:rPr>
          <w:rFonts w:cstheme="minorHAnsi"/>
        </w:rPr>
      </w:pPr>
      <w:r>
        <w:rPr>
          <w:rFonts w:cstheme="minorHAnsi"/>
        </w:rPr>
        <w:t>4.1</w:t>
      </w:r>
      <w:r w:rsidR="00B03B69">
        <w:rPr>
          <w:rFonts w:cstheme="minorHAnsi"/>
        </w:rPr>
        <w:t>6</w:t>
      </w:r>
      <w:r>
        <w:rPr>
          <w:rFonts w:cstheme="minorHAnsi"/>
        </w:rPr>
        <w:tab/>
      </w:r>
      <w:r w:rsidR="00716186">
        <w:rPr>
          <w:rFonts w:cstheme="minorHAnsi"/>
        </w:rPr>
        <w:t>The paragraphs above outline the informal internal and external consultation that has informed the development of the draft SPD. Th</w:t>
      </w:r>
      <w:r w:rsidR="00952D72">
        <w:rPr>
          <w:rFonts w:cstheme="minorHAnsi"/>
        </w:rPr>
        <w:t xml:space="preserve">e presentation of the draft SPD to the Panel </w:t>
      </w:r>
      <w:r w:rsidR="00F74504">
        <w:rPr>
          <w:rFonts w:cstheme="minorHAnsi"/>
        </w:rPr>
        <w:t xml:space="preserve">(this report) </w:t>
      </w:r>
      <w:r w:rsidR="00C117D5">
        <w:rPr>
          <w:rFonts w:cstheme="minorHAnsi"/>
        </w:rPr>
        <w:t xml:space="preserve">and comments received </w:t>
      </w:r>
      <w:r w:rsidR="00F74504">
        <w:rPr>
          <w:rFonts w:cstheme="minorHAnsi"/>
        </w:rPr>
        <w:t xml:space="preserve">will also </w:t>
      </w:r>
      <w:r w:rsidR="00C117D5">
        <w:rPr>
          <w:rFonts w:cstheme="minorHAnsi"/>
        </w:rPr>
        <w:t xml:space="preserve">inform the drafting of the document prior to it being presented to Cabinet for consideration and </w:t>
      </w:r>
      <w:r w:rsidR="003C3F59">
        <w:rPr>
          <w:rFonts w:cstheme="minorHAnsi"/>
        </w:rPr>
        <w:t>approval to formally consult on the draft SPD.</w:t>
      </w:r>
    </w:p>
    <w:p w14:paraId="7DCD4A9F" w14:textId="77777777" w:rsidR="003C3F59" w:rsidRDefault="003C3F59" w:rsidP="00D72AAB">
      <w:pPr>
        <w:autoSpaceDE w:val="0"/>
        <w:autoSpaceDN w:val="0"/>
        <w:adjustRightInd w:val="0"/>
        <w:ind w:left="720" w:hanging="720"/>
        <w:jc w:val="both"/>
        <w:rPr>
          <w:rFonts w:cstheme="minorHAnsi"/>
        </w:rPr>
      </w:pPr>
    </w:p>
    <w:p w14:paraId="30EDCB49" w14:textId="23AD7931" w:rsidR="00CB548A" w:rsidRPr="006C4D5F" w:rsidRDefault="00CB548A" w:rsidP="006C4D5F">
      <w:pPr>
        <w:autoSpaceDE w:val="0"/>
        <w:autoSpaceDN w:val="0"/>
        <w:adjustRightInd w:val="0"/>
        <w:ind w:left="720" w:hanging="720"/>
        <w:jc w:val="both"/>
        <w:rPr>
          <w:rFonts w:cstheme="minorBidi"/>
        </w:rPr>
      </w:pPr>
      <w:r w:rsidRPr="7C987BF5">
        <w:rPr>
          <w:rFonts w:cstheme="minorBidi"/>
        </w:rPr>
        <w:t>4.1</w:t>
      </w:r>
      <w:r w:rsidR="00B03B69">
        <w:rPr>
          <w:rFonts w:cstheme="minorBidi"/>
        </w:rPr>
        <w:t>7</w:t>
      </w:r>
      <w:r>
        <w:tab/>
      </w:r>
      <w:r w:rsidRPr="7C987BF5">
        <w:rPr>
          <w:rFonts w:cstheme="minorBidi"/>
        </w:rPr>
        <w:t xml:space="preserve">In undertaking </w:t>
      </w:r>
      <w:r w:rsidR="006A4E51" w:rsidRPr="7C987BF5">
        <w:rPr>
          <w:rFonts w:cstheme="minorBidi"/>
        </w:rPr>
        <w:t xml:space="preserve">formal </w:t>
      </w:r>
      <w:r w:rsidRPr="7C987BF5">
        <w:rPr>
          <w:rFonts w:cstheme="minorBidi"/>
        </w:rPr>
        <w:t xml:space="preserve">consultation on the draft SPD, this will need to follow the statutory process for the preparation and adoption of </w:t>
      </w:r>
      <w:bookmarkStart w:id="23" w:name="_Int_3Tpeiock"/>
      <w:r w:rsidRPr="7C987BF5">
        <w:rPr>
          <w:rFonts w:cstheme="minorBidi"/>
        </w:rPr>
        <w:t>SPDs</w:t>
      </w:r>
      <w:bookmarkEnd w:id="23"/>
      <w:r w:rsidRPr="7C987BF5">
        <w:rPr>
          <w:rFonts w:cstheme="minorBidi"/>
        </w:rPr>
        <w:t xml:space="preserve">, including consultation in accordance with the Harrow Statement of Community Involvement (SCI). </w:t>
      </w:r>
    </w:p>
    <w:p w14:paraId="2D9C7FB2" w14:textId="77777777" w:rsidR="00CB548A" w:rsidRPr="006C4D5F" w:rsidRDefault="00CB548A" w:rsidP="006C4D5F">
      <w:pPr>
        <w:autoSpaceDE w:val="0"/>
        <w:autoSpaceDN w:val="0"/>
        <w:adjustRightInd w:val="0"/>
        <w:ind w:left="720" w:hanging="720"/>
        <w:jc w:val="both"/>
        <w:rPr>
          <w:rFonts w:cstheme="minorHAnsi"/>
        </w:rPr>
      </w:pPr>
    </w:p>
    <w:p w14:paraId="67DB90C6" w14:textId="4767F704" w:rsidR="00CB548A" w:rsidRPr="001700F3" w:rsidRDefault="006C4D5F" w:rsidP="007122FA">
      <w:pPr>
        <w:keepNext/>
        <w:autoSpaceDE w:val="0"/>
        <w:autoSpaceDN w:val="0"/>
        <w:adjustRightInd w:val="0"/>
        <w:ind w:left="720" w:hanging="720"/>
        <w:jc w:val="both"/>
        <w:rPr>
          <w:rFonts w:cstheme="minorHAnsi"/>
        </w:rPr>
      </w:pPr>
      <w:r w:rsidRPr="001700F3">
        <w:rPr>
          <w:rFonts w:cstheme="minorHAnsi"/>
        </w:rPr>
        <w:t>4.1</w:t>
      </w:r>
      <w:r w:rsidR="00B03B69">
        <w:rPr>
          <w:rFonts w:cstheme="minorHAnsi"/>
        </w:rPr>
        <w:t>8</w:t>
      </w:r>
      <w:r w:rsidR="00CB548A" w:rsidRPr="00370C5A">
        <w:rPr>
          <w:rFonts w:cstheme="minorHAnsi"/>
        </w:rPr>
        <w:tab/>
      </w:r>
      <w:r w:rsidR="001700F3">
        <w:rPr>
          <w:rFonts w:cstheme="minorHAnsi"/>
        </w:rPr>
        <w:t xml:space="preserve">Details of the consultation are being developed and will be outlined </w:t>
      </w:r>
      <w:r w:rsidR="007122FA">
        <w:rPr>
          <w:rFonts w:cstheme="minorHAnsi"/>
        </w:rPr>
        <w:t xml:space="preserve">in detail </w:t>
      </w:r>
      <w:r w:rsidR="001700F3">
        <w:rPr>
          <w:rFonts w:cstheme="minorHAnsi"/>
        </w:rPr>
        <w:t>in the report to Cabinet, but in general terms is likely to involve</w:t>
      </w:r>
      <w:r w:rsidR="00CB548A" w:rsidRPr="001700F3">
        <w:rPr>
          <w:rFonts w:cstheme="minorHAnsi"/>
        </w:rPr>
        <w:t>:</w:t>
      </w:r>
    </w:p>
    <w:p w14:paraId="6D4DF636" w14:textId="77777777" w:rsidR="00CB548A" w:rsidRDefault="00CB548A" w:rsidP="007122FA">
      <w:pPr>
        <w:pStyle w:val="ListParagraph"/>
        <w:keepNext/>
      </w:pPr>
    </w:p>
    <w:p w14:paraId="62EB603D" w14:textId="0EE57D1A" w:rsidR="00CB548A" w:rsidRPr="007122FA" w:rsidRDefault="007122FA" w:rsidP="007122FA">
      <w:pPr>
        <w:pStyle w:val="ListParagraph"/>
        <w:numPr>
          <w:ilvl w:val="0"/>
          <w:numId w:val="24"/>
        </w:numPr>
        <w:jc w:val="both"/>
        <w:rPr>
          <w:sz w:val="24"/>
          <w:szCs w:val="24"/>
        </w:rPr>
      </w:pPr>
      <w:r>
        <w:rPr>
          <w:sz w:val="24"/>
          <w:szCs w:val="24"/>
        </w:rPr>
        <w:t>SPD p</w:t>
      </w:r>
      <w:r w:rsidR="00CB548A" w:rsidRPr="007122FA">
        <w:rPr>
          <w:sz w:val="24"/>
          <w:szCs w:val="24"/>
        </w:rPr>
        <w:t xml:space="preserve">ublished on Harrow </w:t>
      </w:r>
      <w:r w:rsidR="002529F5" w:rsidRPr="007122FA">
        <w:rPr>
          <w:sz w:val="24"/>
          <w:szCs w:val="24"/>
        </w:rPr>
        <w:t xml:space="preserve">online engagement </w:t>
      </w:r>
      <w:r w:rsidR="00546786" w:rsidRPr="007122FA">
        <w:rPr>
          <w:sz w:val="24"/>
          <w:szCs w:val="24"/>
        </w:rPr>
        <w:t xml:space="preserve">portal, </w:t>
      </w:r>
      <w:r w:rsidR="00CB548A" w:rsidRPr="007122FA">
        <w:rPr>
          <w:sz w:val="24"/>
          <w:szCs w:val="24"/>
        </w:rPr>
        <w:t>which will include a consultation questionnaire.</w:t>
      </w:r>
    </w:p>
    <w:p w14:paraId="7AD7F047" w14:textId="77777777" w:rsidR="00CB548A" w:rsidRPr="007122FA" w:rsidRDefault="00CB548A" w:rsidP="007122FA">
      <w:pPr>
        <w:pStyle w:val="ListParagraph"/>
        <w:numPr>
          <w:ilvl w:val="0"/>
          <w:numId w:val="24"/>
        </w:numPr>
        <w:jc w:val="both"/>
        <w:rPr>
          <w:sz w:val="24"/>
          <w:szCs w:val="24"/>
        </w:rPr>
      </w:pPr>
      <w:r w:rsidRPr="007122FA">
        <w:rPr>
          <w:sz w:val="24"/>
          <w:szCs w:val="24"/>
        </w:rPr>
        <w:lastRenderedPageBreak/>
        <w:t>Harrow Council website – Local Plan page</w:t>
      </w:r>
    </w:p>
    <w:p w14:paraId="4929D81E" w14:textId="77777777" w:rsidR="00CB548A" w:rsidRPr="007122FA" w:rsidRDefault="00CB548A" w:rsidP="007122FA">
      <w:pPr>
        <w:pStyle w:val="ListParagraph"/>
        <w:numPr>
          <w:ilvl w:val="0"/>
          <w:numId w:val="24"/>
        </w:numPr>
        <w:jc w:val="both"/>
        <w:rPr>
          <w:sz w:val="24"/>
          <w:szCs w:val="24"/>
        </w:rPr>
      </w:pPr>
      <w:r w:rsidRPr="007122FA">
        <w:rPr>
          <w:sz w:val="24"/>
          <w:szCs w:val="24"/>
        </w:rPr>
        <w:t xml:space="preserve">Harrow Press notice </w:t>
      </w:r>
    </w:p>
    <w:p w14:paraId="6554C858" w14:textId="77777777" w:rsidR="00CB548A" w:rsidRPr="007122FA" w:rsidRDefault="00CB548A" w:rsidP="007122FA">
      <w:pPr>
        <w:pStyle w:val="ListParagraph"/>
        <w:numPr>
          <w:ilvl w:val="0"/>
          <w:numId w:val="24"/>
        </w:numPr>
        <w:jc w:val="both"/>
        <w:rPr>
          <w:sz w:val="24"/>
          <w:szCs w:val="24"/>
        </w:rPr>
      </w:pPr>
      <w:r w:rsidRPr="007122FA">
        <w:rPr>
          <w:sz w:val="24"/>
          <w:szCs w:val="24"/>
        </w:rPr>
        <w:t xml:space="preserve">Harrow Council social media </w:t>
      </w:r>
    </w:p>
    <w:p w14:paraId="0096C2D2" w14:textId="77777777" w:rsidR="00CB548A" w:rsidRPr="007122FA" w:rsidRDefault="00CB548A" w:rsidP="007122FA">
      <w:pPr>
        <w:pStyle w:val="ListParagraph"/>
        <w:numPr>
          <w:ilvl w:val="0"/>
          <w:numId w:val="24"/>
        </w:numPr>
        <w:jc w:val="both"/>
        <w:rPr>
          <w:sz w:val="24"/>
          <w:szCs w:val="24"/>
        </w:rPr>
      </w:pPr>
      <w:r w:rsidRPr="007122FA">
        <w:rPr>
          <w:sz w:val="24"/>
          <w:szCs w:val="24"/>
        </w:rPr>
        <w:t xml:space="preserve">Email to be sent to </w:t>
      </w:r>
      <w:proofErr w:type="spellStart"/>
      <w:r w:rsidRPr="007122FA">
        <w:rPr>
          <w:sz w:val="24"/>
          <w:szCs w:val="24"/>
        </w:rPr>
        <w:t>MyHarrow</w:t>
      </w:r>
      <w:proofErr w:type="spellEnd"/>
      <w:r w:rsidRPr="007122FA">
        <w:rPr>
          <w:sz w:val="24"/>
          <w:szCs w:val="24"/>
        </w:rPr>
        <w:t xml:space="preserve"> accounts</w:t>
      </w:r>
    </w:p>
    <w:p w14:paraId="32BCA684" w14:textId="77777777" w:rsidR="00CB548A" w:rsidRPr="007122FA" w:rsidRDefault="00CB548A" w:rsidP="007122FA">
      <w:pPr>
        <w:pStyle w:val="ListParagraph"/>
        <w:numPr>
          <w:ilvl w:val="0"/>
          <w:numId w:val="24"/>
        </w:numPr>
        <w:jc w:val="both"/>
        <w:rPr>
          <w:sz w:val="24"/>
          <w:szCs w:val="24"/>
        </w:rPr>
      </w:pPr>
      <w:r w:rsidRPr="007122FA">
        <w:rPr>
          <w:sz w:val="24"/>
          <w:szCs w:val="24"/>
        </w:rPr>
        <w:t xml:space="preserve">Emails sent to consultees on the Local Plan database, who have indicated they are interested in Planning Policy </w:t>
      </w:r>
      <w:proofErr w:type="gramStart"/>
      <w:r w:rsidRPr="007122FA">
        <w:rPr>
          <w:sz w:val="24"/>
          <w:szCs w:val="24"/>
        </w:rPr>
        <w:t>consultations;</w:t>
      </w:r>
      <w:proofErr w:type="gramEnd"/>
    </w:p>
    <w:p w14:paraId="0A4CE096" w14:textId="1527286C" w:rsidR="00CB548A" w:rsidRPr="007122FA" w:rsidRDefault="00701DF8" w:rsidP="007122FA">
      <w:pPr>
        <w:pStyle w:val="ListParagraph"/>
        <w:numPr>
          <w:ilvl w:val="0"/>
          <w:numId w:val="24"/>
        </w:numPr>
        <w:jc w:val="both"/>
        <w:rPr>
          <w:sz w:val="24"/>
          <w:szCs w:val="24"/>
        </w:rPr>
      </w:pPr>
      <w:r w:rsidRPr="007122FA">
        <w:rPr>
          <w:sz w:val="24"/>
          <w:szCs w:val="24"/>
        </w:rPr>
        <w:t>Engagement sessions (potentially two), online and / or in-person (to be confirmed)</w:t>
      </w:r>
      <w:r w:rsidR="00CB548A" w:rsidRPr="007122FA">
        <w:rPr>
          <w:sz w:val="24"/>
          <w:szCs w:val="24"/>
        </w:rPr>
        <w:t>.</w:t>
      </w:r>
    </w:p>
    <w:p w14:paraId="4250962C" w14:textId="77777777" w:rsidR="00CB548A" w:rsidRDefault="00CB548A" w:rsidP="00CB548A">
      <w:pPr>
        <w:jc w:val="both"/>
      </w:pPr>
    </w:p>
    <w:p w14:paraId="007288E6" w14:textId="3EEA37DC" w:rsidR="00E314B6" w:rsidRDefault="00C51C97" w:rsidP="00CB548A">
      <w:pPr>
        <w:autoSpaceDE w:val="0"/>
        <w:autoSpaceDN w:val="0"/>
        <w:adjustRightInd w:val="0"/>
        <w:ind w:left="720" w:hanging="720"/>
        <w:jc w:val="both"/>
        <w:rPr>
          <w:rFonts w:cstheme="minorHAnsi"/>
        </w:rPr>
      </w:pPr>
      <w:r>
        <w:rPr>
          <w:rFonts w:cstheme="minorHAnsi"/>
        </w:rPr>
        <w:t>4.</w:t>
      </w:r>
      <w:r w:rsidR="00B03B69">
        <w:rPr>
          <w:rFonts w:cstheme="minorHAnsi"/>
        </w:rPr>
        <w:t>19</w:t>
      </w:r>
      <w:r w:rsidR="00CB548A" w:rsidRPr="006C4D5F">
        <w:rPr>
          <w:rFonts w:cstheme="minorHAnsi"/>
        </w:rPr>
        <w:tab/>
        <w:t xml:space="preserve">The consultation will be open for a minimum period of six </w:t>
      </w:r>
      <w:r w:rsidR="00CB548A" w:rsidRPr="001700F3">
        <w:rPr>
          <w:rFonts w:cstheme="minorHAnsi"/>
        </w:rPr>
        <w:t>weeks and will commence as soon as practicable following the approval by Cabinet.</w:t>
      </w:r>
      <w:r w:rsidR="00CB548A" w:rsidRPr="00701DF8">
        <w:rPr>
          <w:rFonts w:cstheme="minorHAnsi"/>
        </w:rPr>
        <w:t xml:space="preserve"> The outcome of the consultation, and any resulting amendments to the SPD, will be reported back to </w:t>
      </w:r>
      <w:r w:rsidR="00701DF8">
        <w:rPr>
          <w:rFonts w:cstheme="minorHAnsi"/>
        </w:rPr>
        <w:t xml:space="preserve">the Panel and </w:t>
      </w:r>
      <w:r w:rsidR="00CB548A" w:rsidRPr="00701DF8">
        <w:rPr>
          <w:rFonts w:cstheme="minorHAnsi"/>
        </w:rPr>
        <w:t>Cabinet as part of the adoption process. In accordance with the requirements of the Town and Country Planning (Local Planning) (England) Regulations 2012, the Council must publish a consultation statement explaining how any issues raised in representations have been addressed in the SPD</w:t>
      </w:r>
      <w:r w:rsidR="002529F5">
        <w:rPr>
          <w:rFonts w:cstheme="minorHAnsi"/>
        </w:rPr>
        <w:t>.</w:t>
      </w:r>
    </w:p>
    <w:p w14:paraId="59A06564" w14:textId="77777777" w:rsidR="009033B1" w:rsidRPr="003F382E" w:rsidRDefault="009033B1" w:rsidP="00D72AAB">
      <w:pPr>
        <w:autoSpaceDE w:val="0"/>
        <w:autoSpaceDN w:val="0"/>
        <w:adjustRightInd w:val="0"/>
        <w:ind w:left="720" w:hanging="720"/>
        <w:jc w:val="both"/>
        <w:rPr>
          <w:rFonts w:cstheme="minorHAnsi"/>
        </w:rPr>
      </w:pPr>
    </w:p>
    <w:p w14:paraId="0B453FE7" w14:textId="3C940AE6" w:rsidR="00A87F98" w:rsidRPr="00B03B69" w:rsidRDefault="31B74672" w:rsidP="00B03B69">
      <w:pPr>
        <w:keepNext/>
        <w:tabs>
          <w:tab w:val="left" w:pos="709"/>
        </w:tabs>
        <w:ind w:left="709" w:hanging="709"/>
        <w:jc w:val="both"/>
        <w:rPr>
          <w:b/>
          <w:bCs/>
          <w:sz w:val="28"/>
          <w:szCs w:val="28"/>
        </w:rPr>
      </w:pPr>
      <w:r w:rsidRPr="00B03B69">
        <w:rPr>
          <w:b/>
          <w:bCs/>
          <w:sz w:val="28"/>
          <w:szCs w:val="28"/>
        </w:rPr>
        <w:t>5.0</w:t>
      </w:r>
      <w:r w:rsidRPr="00B03B69">
        <w:rPr>
          <w:sz w:val="28"/>
          <w:szCs w:val="28"/>
        </w:rPr>
        <w:tab/>
      </w:r>
      <w:r w:rsidR="7AC33E9D" w:rsidRPr="00B03B69">
        <w:rPr>
          <w:b/>
          <w:bCs/>
          <w:sz w:val="28"/>
          <w:szCs w:val="28"/>
        </w:rPr>
        <w:t>Draf</w:t>
      </w:r>
      <w:r w:rsidR="7AC33E9D" w:rsidRPr="00B03B69">
        <w:rPr>
          <w:b/>
          <w:sz w:val="28"/>
          <w:szCs w:val="28"/>
        </w:rPr>
        <w:t xml:space="preserve">t </w:t>
      </w:r>
      <w:r w:rsidR="2A862596" w:rsidRPr="00B03B69">
        <w:rPr>
          <w:rFonts w:cs="Arial"/>
          <w:b/>
          <w:sz w:val="28"/>
          <w:szCs w:val="28"/>
        </w:rPr>
        <w:t>Tall Buildings (‘</w:t>
      </w:r>
      <w:r w:rsidR="5AE5AA4B" w:rsidRPr="00B03B69">
        <w:rPr>
          <w:rFonts w:cs="Arial"/>
          <w:b/>
          <w:sz w:val="28"/>
          <w:szCs w:val="28"/>
        </w:rPr>
        <w:t xml:space="preserve">Building </w:t>
      </w:r>
      <w:r w:rsidR="2A862596" w:rsidRPr="00B03B69">
        <w:rPr>
          <w:rFonts w:cs="Arial"/>
          <w:b/>
          <w:sz w:val="28"/>
          <w:szCs w:val="28"/>
        </w:rPr>
        <w:t>Heights’</w:t>
      </w:r>
      <w:r w:rsidR="619D3523" w:rsidRPr="00B03B69">
        <w:rPr>
          <w:rFonts w:cs="Arial"/>
          <w:b/>
          <w:sz w:val="28"/>
          <w:szCs w:val="28"/>
        </w:rPr>
        <w:t>)</w:t>
      </w:r>
      <w:r w:rsidR="619D3523" w:rsidRPr="00B03B69">
        <w:rPr>
          <w:b/>
          <w:sz w:val="28"/>
          <w:szCs w:val="28"/>
        </w:rPr>
        <w:t xml:space="preserve"> </w:t>
      </w:r>
      <w:r w:rsidR="5AE5AA4B" w:rsidRPr="00B03B69">
        <w:rPr>
          <w:b/>
          <w:sz w:val="28"/>
          <w:szCs w:val="28"/>
        </w:rPr>
        <w:t>Su</w:t>
      </w:r>
      <w:r w:rsidR="5AE5AA4B" w:rsidRPr="00B03B69">
        <w:rPr>
          <w:b/>
          <w:bCs/>
          <w:sz w:val="28"/>
          <w:szCs w:val="28"/>
        </w:rPr>
        <w:t xml:space="preserve">pplementary Planning Document </w:t>
      </w:r>
    </w:p>
    <w:p w14:paraId="15D46560" w14:textId="77777777" w:rsidR="009E4AE6" w:rsidRPr="003F382E" w:rsidRDefault="009E4AE6" w:rsidP="00D72AAB">
      <w:pPr>
        <w:keepNext/>
        <w:ind w:firstLine="720"/>
        <w:jc w:val="both"/>
        <w:rPr>
          <w:u w:val="single"/>
        </w:rPr>
      </w:pPr>
    </w:p>
    <w:p w14:paraId="7AB126C1" w14:textId="78969FA2" w:rsidR="00A87F98" w:rsidRPr="003F382E" w:rsidRDefault="31B74672" w:rsidP="42D6601E">
      <w:pPr>
        <w:ind w:left="720" w:hanging="720"/>
        <w:jc w:val="both"/>
        <w:rPr>
          <w:rFonts w:cstheme="minorBidi"/>
          <w:shd w:val="clear" w:color="auto" w:fill="FFFFFF"/>
        </w:rPr>
      </w:pPr>
      <w:r w:rsidRPr="42D6601E">
        <w:rPr>
          <w:rFonts w:cstheme="minorBidi"/>
          <w:shd w:val="clear" w:color="auto" w:fill="FFFFFF"/>
        </w:rPr>
        <w:t>5.1</w:t>
      </w:r>
      <w:r w:rsidR="00A87F98" w:rsidRPr="003F382E">
        <w:rPr>
          <w:rFonts w:cstheme="minorHAnsi"/>
          <w:shd w:val="clear" w:color="auto" w:fill="FFFFFF"/>
        </w:rPr>
        <w:tab/>
      </w:r>
      <w:r w:rsidR="5AE5AA4B" w:rsidRPr="42D6601E">
        <w:rPr>
          <w:rFonts w:cstheme="minorBidi"/>
          <w:shd w:val="clear" w:color="auto" w:fill="FFFFFF"/>
        </w:rPr>
        <w:t xml:space="preserve">Supplementary Planning Documents build upon and provide more detailed advice or guidance on policies in an adopted local plan. As they do not form part of the development plan, they cannot introduce new planning policies into the development plan. They are however a material consideration in decision-making. </w:t>
      </w:r>
      <w:r w:rsidR="093A0B52" w:rsidRPr="42D6601E">
        <w:rPr>
          <w:rFonts w:cstheme="minorBidi"/>
          <w:shd w:val="clear" w:color="auto" w:fill="FFFFFF"/>
        </w:rPr>
        <w:t xml:space="preserve">The SPD will provide further </w:t>
      </w:r>
      <w:r w:rsidR="3C28DD50" w:rsidRPr="42D6601E">
        <w:rPr>
          <w:rFonts w:cstheme="minorBidi"/>
          <w:shd w:val="clear" w:color="auto" w:fill="FFFFFF"/>
        </w:rPr>
        <w:t>guidance</w:t>
      </w:r>
      <w:r w:rsidR="093A0B52" w:rsidRPr="42D6601E">
        <w:rPr>
          <w:rFonts w:cstheme="minorBidi"/>
          <w:shd w:val="clear" w:color="auto" w:fill="FFFFFF"/>
        </w:rPr>
        <w:t xml:space="preserve"> principally to Policy DM1 </w:t>
      </w:r>
      <w:r w:rsidR="3C28DD50" w:rsidRPr="42D6601E">
        <w:rPr>
          <w:rFonts w:cstheme="minorBidi"/>
          <w:shd w:val="clear" w:color="auto" w:fill="FFFFFF"/>
        </w:rPr>
        <w:t>(</w:t>
      </w:r>
      <w:r w:rsidR="5DBF4C75" w:rsidRPr="42D6601E">
        <w:rPr>
          <w:rFonts w:cstheme="minorBidi"/>
          <w:shd w:val="clear" w:color="auto" w:fill="FFFFFF"/>
        </w:rPr>
        <w:t xml:space="preserve">Achieving a </w:t>
      </w:r>
      <w:r w:rsidR="69378F49" w:rsidRPr="2BFF5003">
        <w:rPr>
          <w:rFonts w:cstheme="minorBidi"/>
          <w:shd w:val="clear" w:color="auto" w:fill="FFFFFF"/>
        </w:rPr>
        <w:t>H</w:t>
      </w:r>
      <w:r w:rsidR="5DBF4C75" w:rsidRPr="2BFF5003">
        <w:rPr>
          <w:rFonts w:cstheme="minorBidi"/>
          <w:shd w:val="clear" w:color="auto" w:fill="FFFFFF"/>
        </w:rPr>
        <w:t>igh</w:t>
      </w:r>
      <w:r w:rsidR="5DBF4C75" w:rsidRPr="42D6601E">
        <w:rPr>
          <w:rFonts w:cstheme="minorBidi"/>
          <w:shd w:val="clear" w:color="auto" w:fill="FFFFFF"/>
        </w:rPr>
        <w:t xml:space="preserve"> Standard of Delivery</w:t>
      </w:r>
      <w:r w:rsidR="3C28DD50" w:rsidRPr="42D6601E">
        <w:rPr>
          <w:rFonts w:cstheme="minorBidi"/>
          <w:shd w:val="clear" w:color="auto" w:fill="FFFFFF"/>
        </w:rPr>
        <w:t>) of the Harrow</w:t>
      </w:r>
      <w:r w:rsidR="258D575E" w:rsidRPr="42D6601E">
        <w:rPr>
          <w:rFonts w:cstheme="minorBidi"/>
          <w:shd w:val="clear" w:color="auto" w:fill="FFFFFF"/>
        </w:rPr>
        <w:t xml:space="preserve"> </w:t>
      </w:r>
      <w:r w:rsidRPr="42D6601E">
        <w:rPr>
          <w:rFonts w:cstheme="minorBidi"/>
          <w:shd w:val="clear" w:color="auto" w:fill="FFFFFF"/>
        </w:rPr>
        <w:t>D</w:t>
      </w:r>
      <w:r w:rsidR="258D575E" w:rsidRPr="42D6601E">
        <w:rPr>
          <w:rFonts w:cstheme="minorBidi"/>
          <w:shd w:val="clear" w:color="auto" w:fill="FFFFFF"/>
        </w:rPr>
        <w:t>evelopment Management Policies Local Plan (2013). It will also supplem</w:t>
      </w:r>
      <w:r w:rsidR="3B949031" w:rsidRPr="42D6601E">
        <w:rPr>
          <w:rFonts w:cstheme="minorBidi"/>
          <w:shd w:val="clear" w:color="auto" w:fill="FFFFFF"/>
        </w:rPr>
        <w:t>e</w:t>
      </w:r>
      <w:r w:rsidR="258D575E" w:rsidRPr="42D6601E">
        <w:rPr>
          <w:rFonts w:cstheme="minorBidi"/>
          <w:shd w:val="clear" w:color="auto" w:fill="FFFFFF"/>
        </w:rPr>
        <w:t xml:space="preserve">nt any </w:t>
      </w:r>
      <w:r w:rsidR="3B949031" w:rsidRPr="42D6601E">
        <w:rPr>
          <w:rFonts w:cstheme="minorBidi"/>
          <w:shd w:val="clear" w:color="auto" w:fill="FFFFFF"/>
        </w:rPr>
        <w:t>forthcoming</w:t>
      </w:r>
      <w:r w:rsidR="258D575E" w:rsidRPr="42D6601E">
        <w:rPr>
          <w:rFonts w:cstheme="minorBidi"/>
          <w:shd w:val="clear" w:color="auto" w:fill="FFFFFF"/>
        </w:rPr>
        <w:t xml:space="preserve"> </w:t>
      </w:r>
      <w:r w:rsidR="3B949031" w:rsidRPr="42D6601E">
        <w:rPr>
          <w:rFonts w:cstheme="minorBidi"/>
          <w:shd w:val="clear" w:color="auto" w:fill="FFFFFF"/>
        </w:rPr>
        <w:t>tall building policy that will be brought forward through the local plan review</w:t>
      </w:r>
      <w:bookmarkStart w:id="24" w:name="_Int_zsMDlAuQ"/>
      <w:r w:rsidR="2A5857A4" w:rsidRPr="42D6601E">
        <w:rPr>
          <w:rFonts w:cstheme="minorBidi"/>
          <w:shd w:val="clear" w:color="auto" w:fill="FFFFFF"/>
        </w:rPr>
        <w:t xml:space="preserve">. </w:t>
      </w:r>
      <w:bookmarkEnd w:id="24"/>
    </w:p>
    <w:p w14:paraId="609584D9" w14:textId="77777777" w:rsidR="009E4AE6" w:rsidRPr="003F382E" w:rsidRDefault="009E4AE6" w:rsidP="00D72AAB">
      <w:pPr>
        <w:ind w:left="720" w:hanging="720"/>
        <w:jc w:val="both"/>
        <w:rPr>
          <w:rFonts w:cstheme="minorHAnsi"/>
        </w:rPr>
      </w:pPr>
    </w:p>
    <w:p w14:paraId="28F0F913" w14:textId="3F4B382B" w:rsidR="00A87F98" w:rsidRDefault="31B74672" w:rsidP="11CE1E5C">
      <w:pPr>
        <w:ind w:left="720" w:hanging="720"/>
        <w:jc w:val="both"/>
      </w:pPr>
      <w:r>
        <w:t>5.2</w:t>
      </w:r>
      <w:r>
        <w:tab/>
      </w:r>
      <w:r w:rsidR="027966CF">
        <w:t>The</w:t>
      </w:r>
      <w:r w:rsidR="2D8B0E6A">
        <w:t xml:space="preserve"> draft</w:t>
      </w:r>
      <w:r w:rsidR="027966CF">
        <w:t xml:space="preserve"> SPD has been progressed</w:t>
      </w:r>
      <w:r w:rsidR="7EDA58D1">
        <w:t xml:space="preserve"> based on</w:t>
      </w:r>
      <w:r w:rsidR="373C910F">
        <w:t xml:space="preserve"> the</w:t>
      </w:r>
      <w:r w:rsidR="7EDA58D1">
        <w:t xml:space="preserve"> </w:t>
      </w:r>
      <w:r w:rsidR="02B85AD0">
        <w:t xml:space="preserve">relevant evidence base, and </w:t>
      </w:r>
      <w:r w:rsidR="7EDA58D1">
        <w:t xml:space="preserve">the </w:t>
      </w:r>
      <w:r w:rsidR="7EB5561B">
        <w:t xml:space="preserve">themes / objectives / </w:t>
      </w:r>
      <w:r w:rsidR="3124FAF7">
        <w:t>principles</w:t>
      </w:r>
      <w:r w:rsidR="7EB5561B">
        <w:t xml:space="preserve"> </w:t>
      </w:r>
      <w:r w:rsidR="6C58C05F">
        <w:t xml:space="preserve">previously </w:t>
      </w:r>
      <w:r w:rsidR="02B85AD0">
        <w:t xml:space="preserve">noted and </w:t>
      </w:r>
      <w:r w:rsidR="6C58C05F">
        <w:t xml:space="preserve">agreed at the </w:t>
      </w:r>
      <w:bookmarkStart w:id="25" w:name="_Int_rllalXHk"/>
      <w:proofErr w:type="gramStart"/>
      <w:r w:rsidR="6C58C05F">
        <w:t>3</w:t>
      </w:r>
      <w:r w:rsidR="6C58C05F" w:rsidRPr="5D583ED6">
        <w:rPr>
          <w:vertAlign w:val="superscript"/>
        </w:rPr>
        <w:t>rd</w:t>
      </w:r>
      <w:bookmarkEnd w:id="25"/>
      <w:proofErr w:type="gramEnd"/>
      <w:r w:rsidR="6C58C05F">
        <w:t xml:space="preserve"> October Planning </w:t>
      </w:r>
      <w:r w:rsidR="373C910F">
        <w:t>P</w:t>
      </w:r>
      <w:r w:rsidR="6C58C05F">
        <w:t>olicy Advisory Panel</w:t>
      </w:r>
      <w:r w:rsidR="5F20F5E9">
        <w:t xml:space="preserve"> meeting</w:t>
      </w:r>
      <w:r w:rsidR="6C58C05F">
        <w:t xml:space="preserve">. </w:t>
      </w:r>
      <w:r w:rsidR="7ADB26D1">
        <w:t>Building</w:t>
      </w:r>
      <w:r w:rsidR="6C58C05F">
        <w:t xml:space="preserve"> on this, officers have </w:t>
      </w:r>
      <w:r w:rsidR="01C8AFC0">
        <w:t xml:space="preserve">informally consulted with relevant external and internal stakeholders to assist in ensuring that </w:t>
      </w:r>
      <w:r w:rsidR="309A8227">
        <w:t xml:space="preserve">as drafted the SPD would address </w:t>
      </w:r>
      <w:r w:rsidR="22FB8C60">
        <w:t xml:space="preserve">the technical / operational requirements of those stakeholders. </w:t>
      </w:r>
    </w:p>
    <w:p w14:paraId="64FA9765" w14:textId="7C8EDE93" w:rsidR="00956803" w:rsidRDefault="00956803" w:rsidP="00D72AAB">
      <w:pPr>
        <w:ind w:left="720" w:hanging="720"/>
        <w:jc w:val="both"/>
      </w:pPr>
    </w:p>
    <w:p w14:paraId="0FFD98ED" w14:textId="3DAA421A" w:rsidR="00956803" w:rsidRDefault="4EF6B173" w:rsidP="11CE1E5C">
      <w:pPr>
        <w:keepNext/>
        <w:ind w:left="720" w:hanging="720"/>
        <w:jc w:val="both"/>
      </w:pPr>
      <w:r>
        <w:t>5.3</w:t>
      </w:r>
      <w:r>
        <w:tab/>
      </w:r>
      <w:r w:rsidR="5273B73C">
        <w:t>T</w:t>
      </w:r>
      <w:r w:rsidR="717B4749">
        <w:t xml:space="preserve">he </w:t>
      </w:r>
      <w:r w:rsidR="0F46058B">
        <w:t xml:space="preserve">draft </w:t>
      </w:r>
      <w:r w:rsidR="717B4749">
        <w:t xml:space="preserve">SPD is </w:t>
      </w:r>
      <w:r w:rsidR="5273B73C">
        <w:t>proposed</w:t>
      </w:r>
      <w:r w:rsidR="717B4749">
        <w:t xml:space="preserve"> to </w:t>
      </w:r>
      <w:r w:rsidR="7102619C">
        <w:t>be set out in the fol</w:t>
      </w:r>
      <w:r w:rsidR="5BEA328E">
        <w:t xml:space="preserve">lowing format, which will give </w:t>
      </w:r>
      <w:r w:rsidR="38B30B25">
        <w:t>effect</w:t>
      </w:r>
      <w:r w:rsidR="5BEA328E">
        <w:t xml:space="preserve"> </w:t>
      </w:r>
      <w:r w:rsidR="26900337">
        <w:t xml:space="preserve">to </w:t>
      </w:r>
      <w:r w:rsidR="3DC20C42">
        <w:t>paragraphs</w:t>
      </w:r>
      <w:r w:rsidR="5BEA328E">
        <w:t xml:space="preserve"> 5.4 – 5.1</w:t>
      </w:r>
      <w:r w:rsidR="56D38E69">
        <w:t>4</w:t>
      </w:r>
      <w:r w:rsidR="3DC20C42">
        <w:t xml:space="preserve"> set out in this report</w:t>
      </w:r>
      <w:r w:rsidR="5BEA328E">
        <w:t>.</w:t>
      </w:r>
      <w:r w:rsidR="235D6CAA">
        <w:t xml:space="preserve"> </w:t>
      </w:r>
      <w:r w:rsidR="1EB8228A">
        <w:t>T</w:t>
      </w:r>
      <w:r w:rsidR="235D6CAA">
        <w:t xml:space="preserve">he full </w:t>
      </w:r>
      <w:r w:rsidR="6D4B8E04">
        <w:t>c</w:t>
      </w:r>
      <w:r w:rsidR="3DC20C42">
        <w:t>ontents</w:t>
      </w:r>
      <w:r w:rsidR="2CCAFB96">
        <w:t xml:space="preserve"> </w:t>
      </w:r>
      <w:r w:rsidR="03292730">
        <w:t>are</w:t>
      </w:r>
      <w:r w:rsidR="2CCAFB96">
        <w:t xml:space="preserve"> set out on Page 3 of the </w:t>
      </w:r>
      <w:r w:rsidR="22638AC7">
        <w:t xml:space="preserve">draft </w:t>
      </w:r>
      <w:r w:rsidR="2CCAFB96">
        <w:t xml:space="preserve">SPD. </w:t>
      </w:r>
    </w:p>
    <w:p w14:paraId="2A581975" w14:textId="10D56969" w:rsidR="004E6DF9" w:rsidRDefault="004E6DF9" w:rsidP="00D97E1B">
      <w:pPr>
        <w:keepNext/>
        <w:ind w:left="720" w:hanging="720"/>
        <w:jc w:val="both"/>
      </w:pPr>
    </w:p>
    <w:p w14:paraId="0568F970" w14:textId="4E4CE9A1" w:rsidR="009B43DB" w:rsidRPr="00D97E1B" w:rsidRDefault="00AA02F4" w:rsidP="00D97E1B">
      <w:pPr>
        <w:pStyle w:val="ListParagraph"/>
        <w:numPr>
          <w:ilvl w:val="0"/>
          <w:numId w:val="25"/>
        </w:numPr>
        <w:jc w:val="both"/>
        <w:rPr>
          <w:sz w:val="24"/>
          <w:szCs w:val="24"/>
        </w:rPr>
      </w:pPr>
      <w:r w:rsidRPr="00D97E1B">
        <w:rPr>
          <w:sz w:val="24"/>
          <w:szCs w:val="24"/>
        </w:rPr>
        <w:t>Introduction</w:t>
      </w:r>
    </w:p>
    <w:p w14:paraId="4686DA6C" w14:textId="0EE490B6" w:rsidR="00AA02F4" w:rsidRPr="00D97E1B" w:rsidRDefault="00E32690" w:rsidP="00D97E1B">
      <w:pPr>
        <w:pStyle w:val="ListParagraph"/>
        <w:numPr>
          <w:ilvl w:val="0"/>
          <w:numId w:val="25"/>
        </w:numPr>
        <w:jc w:val="both"/>
        <w:rPr>
          <w:sz w:val="24"/>
          <w:szCs w:val="24"/>
        </w:rPr>
      </w:pPr>
      <w:r w:rsidRPr="00D97E1B">
        <w:rPr>
          <w:sz w:val="24"/>
          <w:szCs w:val="24"/>
        </w:rPr>
        <w:t>Understanding</w:t>
      </w:r>
      <w:r w:rsidR="00AA02F4" w:rsidRPr="00D97E1B">
        <w:rPr>
          <w:sz w:val="24"/>
          <w:szCs w:val="24"/>
        </w:rPr>
        <w:t xml:space="preserve"> </w:t>
      </w:r>
      <w:r w:rsidRPr="00D97E1B">
        <w:rPr>
          <w:sz w:val="24"/>
          <w:szCs w:val="24"/>
        </w:rPr>
        <w:t>H</w:t>
      </w:r>
      <w:r w:rsidR="00AA02F4" w:rsidRPr="00D97E1B">
        <w:rPr>
          <w:sz w:val="24"/>
          <w:szCs w:val="24"/>
        </w:rPr>
        <w:t>arrow’s existing character</w:t>
      </w:r>
    </w:p>
    <w:p w14:paraId="6C41EFC2" w14:textId="21F993BE" w:rsidR="00AA02F4" w:rsidRPr="00D97E1B" w:rsidRDefault="002C6165" w:rsidP="00D97E1B">
      <w:pPr>
        <w:pStyle w:val="ListParagraph"/>
        <w:numPr>
          <w:ilvl w:val="0"/>
          <w:numId w:val="25"/>
        </w:numPr>
        <w:jc w:val="both"/>
        <w:rPr>
          <w:sz w:val="24"/>
          <w:szCs w:val="24"/>
        </w:rPr>
      </w:pPr>
      <w:r w:rsidRPr="00D97E1B">
        <w:rPr>
          <w:sz w:val="24"/>
          <w:szCs w:val="24"/>
        </w:rPr>
        <w:t>Deigning</w:t>
      </w:r>
      <w:r w:rsidR="00AA02F4" w:rsidRPr="00D97E1B">
        <w:rPr>
          <w:sz w:val="24"/>
          <w:szCs w:val="24"/>
        </w:rPr>
        <w:t xml:space="preserve"> </w:t>
      </w:r>
      <w:r w:rsidRPr="00D97E1B">
        <w:rPr>
          <w:sz w:val="24"/>
          <w:szCs w:val="24"/>
        </w:rPr>
        <w:t>T</w:t>
      </w:r>
      <w:r w:rsidR="00AA02F4" w:rsidRPr="00D97E1B">
        <w:rPr>
          <w:sz w:val="24"/>
          <w:szCs w:val="24"/>
        </w:rPr>
        <w:t>all and Contextually Tall Buildings</w:t>
      </w:r>
    </w:p>
    <w:p w14:paraId="2F0F1FC1" w14:textId="24AF0934" w:rsidR="00AA02F4" w:rsidRPr="00D97E1B" w:rsidRDefault="00AA02F4" w:rsidP="00D97E1B">
      <w:pPr>
        <w:pStyle w:val="ListParagraph"/>
        <w:numPr>
          <w:ilvl w:val="0"/>
          <w:numId w:val="25"/>
        </w:numPr>
        <w:jc w:val="both"/>
        <w:rPr>
          <w:sz w:val="24"/>
          <w:szCs w:val="24"/>
        </w:rPr>
      </w:pPr>
      <w:r w:rsidRPr="00D97E1B">
        <w:rPr>
          <w:sz w:val="24"/>
          <w:szCs w:val="24"/>
        </w:rPr>
        <w:t xml:space="preserve">Design </w:t>
      </w:r>
      <w:r w:rsidR="002C6165" w:rsidRPr="00D97E1B">
        <w:rPr>
          <w:sz w:val="24"/>
          <w:szCs w:val="24"/>
        </w:rPr>
        <w:t>principles</w:t>
      </w:r>
      <w:r w:rsidRPr="00D97E1B">
        <w:rPr>
          <w:sz w:val="24"/>
          <w:szCs w:val="24"/>
        </w:rPr>
        <w:t xml:space="preserve"> and objectives</w:t>
      </w:r>
    </w:p>
    <w:p w14:paraId="044ED241" w14:textId="37418697" w:rsidR="00AA02F4" w:rsidRPr="00D97E1B" w:rsidRDefault="00AA02F4" w:rsidP="00D97E1B">
      <w:pPr>
        <w:pStyle w:val="ListParagraph"/>
        <w:numPr>
          <w:ilvl w:val="0"/>
          <w:numId w:val="25"/>
        </w:numPr>
        <w:jc w:val="both"/>
        <w:rPr>
          <w:sz w:val="24"/>
          <w:szCs w:val="24"/>
        </w:rPr>
      </w:pPr>
      <w:r w:rsidRPr="00D97E1B">
        <w:rPr>
          <w:sz w:val="24"/>
          <w:szCs w:val="24"/>
        </w:rPr>
        <w:t xml:space="preserve">Application process and requirements. </w:t>
      </w:r>
    </w:p>
    <w:p w14:paraId="0798B3B5" w14:textId="0832CC72" w:rsidR="005553C2" w:rsidRDefault="005553C2" w:rsidP="00D72AAB">
      <w:pPr>
        <w:ind w:left="720" w:hanging="720"/>
        <w:jc w:val="both"/>
      </w:pPr>
    </w:p>
    <w:p w14:paraId="282D3938" w14:textId="4B5953FE" w:rsidR="003855D6" w:rsidRDefault="005553C2" w:rsidP="00D72AAB">
      <w:pPr>
        <w:ind w:left="720" w:hanging="720"/>
        <w:jc w:val="both"/>
      </w:pPr>
      <w:r>
        <w:t>5.</w:t>
      </w:r>
      <w:r w:rsidR="007D20EA">
        <w:t>4</w:t>
      </w:r>
      <w:r>
        <w:tab/>
      </w:r>
      <w:r w:rsidR="00095A0F">
        <w:t xml:space="preserve">The draft SPD proposes </w:t>
      </w:r>
      <w:r w:rsidR="002C12D5">
        <w:t xml:space="preserve">to provide </w:t>
      </w:r>
      <w:r w:rsidR="00324533">
        <w:t>guidance</w:t>
      </w:r>
      <w:r w:rsidR="00290A37">
        <w:t xml:space="preserve"> to</w:t>
      </w:r>
      <w:r w:rsidR="000C215A">
        <w:t xml:space="preserve"> demonstrate how height should be </w:t>
      </w:r>
      <w:r w:rsidR="00E40773">
        <w:t>considered</w:t>
      </w:r>
      <w:r w:rsidR="00C44CBC">
        <w:t xml:space="preserve"> across </w:t>
      </w:r>
      <w:r w:rsidR="67C558CB">
        <w:t xml:space="preserve">the suburban areas of </w:t>
      </w:r>
      <w:r w:rsidR="00C44CBC">
        <w:t>Harrow</w:t>
      </w:r>
      <w:r w:rsidR="005F5393">
        <w:t xml:space="preserve">. </w:t>
      </w:r>
      <w:r w:rsidR="007D6475">
        <w:t xml:space="preserve">The </w:t>
      </w:r>
      <w:r w:rsidR="3EB5396C">
        <w:t xml:space="preserve">draft </w:t>
      </w:r>
      <w:r w:rsidR="007D6475">
        <w:t>SPD</w:t>
      </w:r>
      <w:r w:rsidR="007D6475" w:rsidDel="00AC09F2">
        <w:t xml:space="preserve"> </w:t>
      </w:r>
      <w:r w:rsidR="007D6475">
        <w:lastRenderedPageBreak/>
        <w:t>set</w:t>
      </w:r>
      <w:r w:rsidR="00AC09F2">
        <w:t>s</w:t>
      </w:r>
      <w:r w:rsidR="007D6475">
        <w:t xml:space="preserve"> out how a context analysis will need to be </w:t>
      </w:r>
      <w:r w:rsidR="00094A2F">
        <w:t xml:space="preserve">undertaken </w:t>
      </w:r>
      <w:r w:rsidR="007D6475">
        <w:t xml:space="preserve">to support applications, to </w:t>
      </w:r>
      <w:r w:rsidR="000D341A">
        <w:t>demonstrate</w:t>
      </w:r>
      <w:r w:rsidR="007D6475">
        <w:t xml:space="preserve"> </w:t>
      </w:r>
      <w:r w:rsidR="00FE5E83">
        <w:t>w</w:t>
      </w:r>
      <w:r w:rsidR="007D6475">
        <w:t>hat the prevailing context is</w:t>
      </w:r>
      <w:r w:rsidR="00FE5E83">
        <w:t xml:space="preserve"> in any specific </w:t>
      </w:r>
      <w:r w:rsidR="1291F4DB">
        <w:t xml:space="preserve">suburban </w:t>
      </w:r>
      <w:r w:rsidR="00FE5E83">
        <w:t>location</w:t>
      </w:r>
      <w:r w:rsidR="007D6475">
        <w:t>, speci</w:t>
      </w:r>
      <w:r w:rsidR="00851A77">
        <w:t>fic</w:t>
      </w:r>
      <w:r w:rsidR="007D6475">
        <w:t>ally in relation to height.</w:t>
      </w:r>
      <w:r w:rsidR="003855D6">
        <w:t xml:space="preserve"> </w:t>
      </w:r>
      <w:r w:rsidR="49461C6F">
        <w:t xml:space="preserve">The SPD will only be relevant to developments within suburban </w:t>
      </w:r>
      <w:r w:rsidR="3381ECEC">
        <w:t>H</w:t>
      </w:r>
      <w:r w:rsidR="49461C6F">
        <w:t xml:space="preserve">arrow, and not for developments that are </w:t>
      </w:r>
      <w:r w:rsidR="15BE2380">
        <w:t>proposed</w:t>
      </w:r>
      <w:r w:rsidR="49461C6F">
        <w:t xml:space="preserve"> within the Harrow &amp; Wealdstone Opportunity Area</w:t>
      </w:r>
      <w:r w:rsidR="6E349A4F">
        <w:t xml:space="preserve">. </w:t>
      </w:r>
      <w:r w:rsidR="003855D6">
        <w:t xml:space="preserve">The </w:t>
      </w:r>
      <w:r w:rsidR="002E7F87">
        <w:t xml:space="preserve">draft </w:t>
      </w:r>
      <w:r w:rsidR="003855D6">
        <w:t xml:space="preserve">SPD </w:t>
      </w:r>
      <w:r w:rsidR="00C0639F">
        <w:t xml:space="preserve">provides </w:t>
      </w:r>
      <w:r w:rsidR="00AB2B7C">
        <w:t xml:space="preserve">images to demonstrate </w:t>
      </w:r>
      <w:r w:rsidR="00C0639F">
        <w:t xml:space="preserve">how </w:t>
      </w:r>
      <w:r w:rsidR="00FE5E83">
        <w:t xml:space="preserve">this </w:t>
      </w:r>
      <w:r w:rsidR="008D58B6">
        <w:t xml:space="preserve">context analysis would be </w:t>
      </w:r>
      <w:r w:rsidR="005D7CF5">
        <w:t>undertaken and</w:t>
      </w:r>
      <w:r w:rsidR="008D58B6">
        <w:t xml:space="preserve"> provides </w:t>
      </w:r>
      <w:r w:rsidR="00AB2B7C">
        <w:t xml:space="preserve">guidance on </w:t>
      </w:r>
      <w:r w:rsidR="008D58B6">
        <w:t>the spatial element to this (</w:t>
      </w:r>
      <w:r w:rsidR="005D7CF5">
        <w:t>i.e.,</w:t>
      </w:r>
      <w:r w:rsidR="008D58B6">
        <w:t xml:space="preserve"> how far from the application site</w:t>
      </w:r>
      <w:r w:rsidR="00CC30FF">
        <w:t xml:space="preserve"> should</w:t>
      </w:r>
      <w:r w:rsidR="008E3D75">
        <w:t xml:space="preserve"> form part of the analysis</w:t>
      </w:r>
      <w:r w:rsidR="005D7CF5">
        <w:t>)</w:t>
      </w:r>
      <w:r w:rsidR="008D58B6">
        <w:t xml:space="preserve">. </w:t>
      </w:r>
    </w:p>
    <w:p w14:paraId="0B85670E" w14:textId="77777777" w:rsidR="003855D6" w:rsidRDefault="003855D6" w:rsidP="00D72AAB">
      <w:pPr>
        <w:ind w:left="720" w:hanging="720"/>
        <w:jc w:val="both"/>
      </w:pPr>
    </w:p>
    <w:p w14:paraId="7C423474" w14:textId="62381E6E" w:rsidR="002C12D5" w:rsidRDefault="57980441" w:rsidP="00D72AAB">
      <w:pPr>
        <w:ind w:left="720" w:hanging="720"/>
        <w:jc w:val="both"/>
      </w:pPr>
      <w:r>
        <w:t xml:space="preserve"> </w:t>
      </w:r>
      <w:r w:rsidR="73BAEBC4">
        <w:t>5.</w:t>
      </w:r>
      <w:r w:rsidR="1DD84BBA">
        <w:t>5</w:t>
      </w:r>
      <w:r w:rsidR="007D6475">
        <w:tab/>
      </w:r>
      <w:r w:rsidR="53CD3BF0">
        <w:t xml:space="preserve">Once an established </w:t>
      </w:r>
      <w:r w:rsidR="73BAEBC4">
        <w:t xml:space="preserve">context has been determined for </w:t>
      </w:r>
      <w:r w:rsidR="4B95FDE8">
        <w:t>an</w:t>
      </w:r>
      <w:r w:rsidR="73BAEBC4">
        <w:t xml:space="preserve"> </w:t>
      </w:r>
      <w:r w:rsidR="4B95FDE8">
        <w:t>application</w:t>
      </w:r>
      <w:r w:rsidR="73BAEBC4">
        <w:t xml:space="preserve"> site,</w:t>
      </w:r>
      <w:r w:rsidR="53CD3BF0">
        <w:t xml:space="preserve"> applicants are</w:t>
      </w:r>
      <w:r w:rsidR="495042CD">
        <w:t xml:space="preserve"> </w:t>
      </w:r>
      <w:r w:rsidR="53CD3BF0">
        <w:t xml:space="preserve">then able to </w:t>
      </w:r>
      <w:r w:rsidR="48BFDB45">
        <w:t>utilise</w:t>
      </w:r>
      <w:r w:rsidR="53CD3BF0">
        <w:t xml:space="preserve"> the </w:t>
      </w:r>
      <w:r w:rsidR="3FF79148">
        <w:t xml:space="preserve">formula </w:t>
      </w:r>
      <w:r w:rsidR="5794C504">
        <w:t xml:space="preserve">below </w:t>
      </w:r>
      <w:r w:rsidR="3FF79148">
        <w:t xml:space="preserve">to determine if the proposed development would be </w:t>
      </w:r>
      <w:r w:rsidR="02C00C71">
        <w:t>contextually tall within a</w:t>
      </w:r>
      <w:r w:rsidR="153E3106">
        <w:t xml:space="preserve">ny specific </w:t>
      </w:r>
      <w:r w:rsidR="02C00C71">
        <w:t>location</w:t>
      </w:r>
      <w:r w:rsidR="3FF79148">
        <w:t xml:space="preserve">. </w:t>
      </w:r>
    </w:p>
    <w:p w14:paraId="74507D97" w14:textId="4EEEEF3C" w:rsidR="00483444" w:rsidRDefault="00483444" w:rsidP="00D72AAB">
      <w:pPr>
        <w:ind w:left="720" w:hanging="720"/>
        <w:jc w:val="both"/>
      </w:pPr>
    </w:p>
    <w:p w14:paraId="52D2B1A3" w14:textId="196D0E2A" w:rsidR="00483444" w:rsidRPr="003F382E" w:rsidRDefault="0C14F5E8" w:rsidP="5D583ED6">
      <w:pPr>
        <w:jc w:val="both"/>
        <w:rPr>
          <w:noProof/>
        </w:rPr>
      </w:pPr>
      <w:r>
        <w:t xml:space="preserve">            </w:t>
      </w:r>
      <w:r>
        <w:rPr>
          <w:noProof/>
        </w:rPr>
        <w:drawing>
          <wp:inline distT="0" distB="0" distL="0" distR="0" wp14:anchorId="7CF176E4" wp14:editId="0A865402">
            <wp:extent cx="4878077" cy="2428875"/>
            <wp:effectExtent l="0" t="0" r="0" b="0"/>
            <wp:docPr id="1540089550" name="Picture 1540089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0089550"/>
                    <pic:cNvPicPr/>
                  </pic:nvPicPr>
                  <pic:blipFill>
                    <a:blip r:embed="rId15">
                      <a:extLst>
                        <a:ext uri="{28A0092B-C50C-407E-A947-70E740481C1C}">
                          <a14:useLocalDpi xmlns:a14="http://schemas.microsoft.com/office/drawing/2010/main" val="0"/>
                        </a:ext>
                      </a:extLst>
                    </a:blip>
                    <a:stretch>
                      <a:fillRect/>
                    </a:stretch>
                  </pic:blipFill>
                  <pic:spPr>
                    <a:xfrm>
                      <a:off x="0" y="0"/>
                      <a:ext cx="4878077" cy="2428875"/>
                    </a:xfrm>
                    <a:prstGeom prst="rect">
                      <a:avLst/>
                    </a:prstGeom>
                  </pic:spPr>
                </pic:pic>
              </a:graphicData>
            </a:graphic>
          </wp:inline>
        </w:drawing>
      </w:r>
      <w:r w:rsidR="3FF79148" w:rsidRPr="5D583ED6">
        <w:rPr>
          <w:noProof/>
        </w:rPr>
        <w:t xml:space="preserve">  </w:t>
      </w:r>
    </w:p>
    <w:p w14:paraId="524D0E51" w14:textId="547ABBCF" w:rsidR="006303C3" w:rsidRDefault="006303C3" w:rsidP="11CE1E5C">
      <w:pPr>
        <w:ind w:left="720" w:hanging="720"/>
        <w:jc w:val="both"/>
      </w:pPr>
    </w:p>
    <w:p w14:paraId="4DC3C806" w14:textId="58335B0C" w:rsidR="002915FD" w:rsidRDefault="43614DBA" w:rsidP="00D72AAB">
      <w:pPr>
        <w:ind w:left="720" w:hanging="720"/>
        <w:jc w:val="both"/>
      </w:pPr>
      <w:r>
        <w:t>5.</w:t>
      </w:r>
      <w:r w:rsidR="1DD84BBA">
        <w:t>6</w:t>
      </w:r>
      <w:r>
        <w:tab/>
      </w:r>
      <w:r w:rsidR="081D38A3">
        <w:t>B</w:t>
      </w:r>
      <w:r w:rsidR="5E1A4C79">
        <w:t xml:space="preserve">uildings that </w:t>
      </w:r>
      <w:r w:rsidR="00AC7919">
        <w:t xml:space="preserve">exceed </w:t>
      </w:r>
      <w:r w:rsidR="5E1A4C79">
        <w:t xml:space="preserve">the tall building </w:t>
      </w:r>
      <w:r>
        <w:t>threshold</w:t>
      </w:r>
      <w:r w:rsidR="5E1A4C79">
        <w:t xml:space="preserve"> as set out</w:t>
      </w:r>
      <w:r>
        <w:t xml:space="preserve"> </w:t>
      </w:r>
      <w:r w:rsidR="5E1A4C79">
        <w:t xml:space="preserve">in Policy D9 (Tall buildings) of the London Plan (2021) </w:t>
      </w:r>
      <w:r w:rsidR="185EF805">
        <w:t xml:space="preserve">(6 storeys / 18m) </w:t>
      </w:r>
      <w:r>
        <w:t>will not need to</w:t>
      </w:r>
      <w:r w:rsidR="455E8612">
        <w:t xml:space="preserve"> apply the </w:t>
      </w:r>
      <w:r w:rsidR="1BA248B4">
        <w:t>formula</w:t>
      </w:r>
      <w:r w:rsidR="600A8379">
        <w:t xml:space="preserve"> (as they will by default be defined as ‘tall buildings’ as per the London Plan)</w:t>
      </w:r>
      <w:r w:rsidR="1BA248B4">
        <w:t xml:space="preserve">. </w:t>
      </w:r>
      <w:r w:rsidR="45E0DA32">
        <w:t>Proposals within the Harrow &amp; Wealdstone Opportunity Area do not need to apply the formula or follow the guidance in the SPD, rather shall follow the polic</w:t>
      </w:r>
      <w:r w:rsidR="6BF3CA17">
        <w:t>ies</w:t>
      </w:r>
      <w:r w:rsidR="45E0DA32">
        <w:t xml:space="preserve"> wi</w:t>
      </w:r>
      <w:r w:rsidR="6D111677">
        <w:t>thin</w:t>
      </w:r>
      <w:r w:rsidR="45E0DA32">
        <w:t xml:space="preserve"> </w:t>
      </w:r>
      <w:r w:rsidR="78588130">
        <w:t xml:space="preserve">the Harrow &amp; Wealdstone Area Action Plan (2013) and development plan policies. </w:t>
      </w:r>
    </w:p>
    <w:p w14:paraId="49EC84FF" w14:textId="77777777" w:rsidR="002915FD" w:rsidRDefault="002915FD" w:rsidP="00D72AAB">
      <w:pPr>
        <w:ind w:left="720" w:hanging="720"/>
        <w:jc w:val="both"/>
      </w:pPr>
    </w:p>
    <w:p w14:paraId="08A53DC7" w14:textId="59B852DE" w:rsidR="00F570DA" w:rsidRDefault="1BA248B4" w:rsidP="11CE1E5C">
      <w:pPr>
        <w:ind w:left="720" w:hanging="720"/>
        <w:jc w:val="both"/>
      </w:pPr>
      <w:r>
        <w:t>5.</w:t>
      </w:r>
      <w:r w:rsidR="1DD84BBA">
        <w:t>7</w:t>
      </w:r>
      <w:r>
        <w:tab/>
      </w:r>
      <w:r w:rsidR="07715B92">
        <w:t>Proposals</w:t>
      </w:r>
      <w:r w:rsidR="44590A3D">
        <w:t xml:space="preserve"> </w:t>
      </w:r>
      <w:r w:rsidR="3EA1A8C3">
        <w:t>determined</w:t>
      </w:r>
      <w:r w:rsidR="6D322BDC">
        <w:t xml:space="preserve"> to be</w:t>
      </w:r>
      <w:r w:rsidR="0F929C25">
        <w:t xml:space="preserve"> tall (London Plan definition) and</w:t>
      </w:r>
      <w:r w:rsidR="155AF932">
        <w:t>/or</w:t>
      </w:r>
      <w:r w:rsidR="6D322BDC">
        <w:t xml:space="preserve"> </w:t>
      </w:r>
      <w:r w:rsidR="60242735">
        <w:t>contextually</w:t>
      </w:r>
      <w:r w:rsidR="348AF5C1">
        <w:t xml:space="preserve"> tall, as determined </w:t>
      </w:r>
      <w:r w:rsidR="3EA1A8C3">
        <w:t>through</w:t>
      </w:r>
      <w:r w:rsidR="348AF5C1">
        <w:t xml:space="preserve"> the context </w:t>
      </w:r>
      <w:r w:rsidR="3EA1A8C3">
        <w:t>analysis</w:t>
      </w:r>
      <w:r w:rsidR="348AF5C1">
        <w:t xml:space="preserve"> and application of the formulae</w:t>
      </w:r>
      <w:r w:rsidR="5FAA5DA2">
        <w:t xml:space="preserve">, will need to then </w:t>
      </w:r>
      <w:r w:rsidR="6C964B61">
        <w:t xml:space="preserve">follow the guidance within the </w:t>
      </w:r>
      <w:r w:rsidR="00E533BD">
        <w:t xml:space="preserve">draft </w:t>
      </w:r>
      <w:r w:rsidR="6C964B61">
        <w:t xml:space="preserve">SPD. </w:t>
      </w:r>
      <w:r w:rsidR="6FBFEDEA">
        <w:t>Buildings</w:t>
      </w:r>
      <w:r w:rsidR="235855D8">
        <w:t xml:space="preserve"> that exceed the London Plan definition must be considered against Policy D9</w:t>
      </w:r>
      <w:r w:rsidR="6FBFEDEA">
        <w:t xml:space="preserve"> (Tall buildings) of the London Plan (2021)</w:t>
      </w:r>
      <w:r w:rsidR="520F5D3B">
        <w:t xml:space="preserve"> also</w:t>
      </w:r>
      <w:r w:rsidR="6FBFEDEA">
        <w:t>.</w:t>
      </w:r>
    </w:p>
    <w:p w14:paraId="4AD35DE7" w14:textId="29C64F5F" w:rsidR="001B38F4" w:rsidRDefault="001B38F4" w:rsidP="00D72AAB">
      <w:pPr>
        <w:ind w:left="720" w:hanging="720"/>
        <w:jc w:val="both"/>
      </w:pPr>
    </w:p>
    <w:p w14:paraId="019730DC" w14:textId="7D9953E3" w:rsidR="00B15D0F" w:rsidRDefault="001B38F4" w:rsidP="00D72AAB">
      <w:pPr>
        <w:ind w:left="720" w:hanging="720"/>
        <w:jc w:val="both"/>
      </w:pPr>
      <w:r>
        <w:t>5.</w:t>
      </w:r>
      <w:r w:rsidR="007D20EA">
        <w:t>8</w:t>
      </w:r>
      <w:r>
        <w:tab/>
      </w:r>
      <w:r w:rsidR="00BA5D54">
        <w:t xml:space="preserve">It is </w:t>
      </w:r>
      <w:r w:rsidR="00AB7865">
        <w:t>acknowledged</w:t>
      </w:r>
      <w:r w:rsidR="00BA5D54">
        <w:t xml:space="preserve"> that </w:t>
      </w:r>
      <w:r w:rsidR="00AB7865">
        <w:t>tall buildings as defined by Policy D9 (Tall buildings), which exceed</w:t>
      </w:r>
      <w:r w:rsidR="00B15D0F">
        <w:t xml:space="preserve"> 6 storeys / 18m in height, </w:t>
      </w:r>
      <w:r w:rsidR="009F50D6">
        <w:t xml:space="preserve">have more potential to cause </w:t>
      </w:r>
      <w:r w:rsidR="00CE38CE">
        <w:t xml:space="preserve">a greater </w:t>
      </w:r>
      <w:r w:rsidR="00CA15E8">
        <w:t xml:space="preserve">number </w:t>
      </w:r>
      <w:r w:rsidR="001F19D7">
        <w:t xml:space="preserve">and </w:t>
      </w:r>
      <w:r w:rsidR="00352656">
        <w:t xml:space="preserve">greater </w:t>
      </w:r>
      <w:r w:rsidR="001F19D7">
        <w:t xml:space="preserve">degree of </w:t>
      </w:r>
      <w:r w:rsidR="00352656">
        <w:t xml:space="preserve">harm. </w:t>
      </w:r>
      <w:r w:rsidR="00E21E78">
        <w:t xml:space="preserve">For this reason, </w:t>
      </w:r>
      <w:r w:rsidR="000F499C">
        <w:t xml:space="preserve">a greater level of design scrutiny should be applied to taller </w:t>
      </w:r>
      <w:r w:rsidR="005B11B0">
        <w:t>bu</w:t>
      </w:r>
      <w:r w:rsidR="0042564D">
        <w:t>il</w:t>
      </w:r>
      <w:r w:rsidR="005B11B0">
        <w:t>dings</w:t>
      </w:r>
      <w:r w:rsidR="000F499C">
        <w:t xml:space="preserve">, and </w:t>
      </w:r>
      <w:r w:rsidR="005B11B0">
        <w:t>conversely those that are</w:t>
      </w:r>
      <w:r w:rsidR="000F499C">
        <w:t xml:space="preserve"> not </w:t>
      </w:r>
      <w:r w:rsidR="005B11B0">
        <w:t xml:space="preserve">as high, </w:t>
      </w:r>
      <w:r w:rsidR="00C172C9">
        <w:t>w</w:t>
      </w:r>
      <w:r w:rsidR="005B11B0">
        <w:t xml:space="preserve">ould not be subject to </w:t>
      </w:r>
      <w:r w:rsidR="000F717E">
        <w:t xml:space="preserve">the same </w:t>
      </w:r>
      <w:r w:rsidR="007F2060">
        <w:t>level of</w:t>
      </w:r>
      <w:r w:rsidR="005B11B0">
        <w:t xml:space="preserve"> scrutiny</w:t>
      </w:r>
      <w:r w:rsidR="007F2060">
        <w:t xml:space="preserve"> / guidance</w:t>
      </w:r>
      <w:r w:rsidR="005B11B0">
        <w:t xml:space="preserve">. </w:t>
      </w:r>
      <w:r w:rsidR="001A45CF">
        <w:t xml:space="preserve">However, this does not mean that a high standard of design should not be achieved by all developments. </w:t>
      </w:r>
    </w:p>
    <w:p w14:paraId="00640C9C" w14:textId="77777777" w:rsidR="00FF470D" w:rsidRDefault="00FF470D" w:rsidP="00D72AAB">
      <w:pPr>
        <w:ind w:left="720" w:hanging="720"/>
        <w:jc w:val="both"/>
      </w:pPr>
    </w:p>
    <w:p w14:paraId="34C3EC61" w14:textId="73E170BE" w:rsidR="00FF470D" w:rsidRDefault="00FF470D" w:rsidP="00D72AAB">
      <w:pPr>
        <w:ind w:left="720" w:hanging="720"/>
        <w:jc w:val="both"/>
      </w:pPr>
      <w:r>
        <w:lastRenderedPageBreak/>
        <w:t>5.</w:t>
      </w:r>
      <w:r w:rsidR="007D20EA">
        <w:t>9</w:t>
      </w:r>
      <w:r>
        <w:tab/>
      </w:r>
      <w:r w:rsidR="003B6E7F">
        <w:t>It is proposed to address this issue by introduc</w:t>
      </w:r>
      <w:r w:rsidR="00895C9F">
        <w:t xml:space="preserve">ing a </w:t>
      </w:r>
      <w:r w:rsidR="001562E9">
        <w:t xml:space="preserve">traffic light system, </w:t>
      </w:r>
      <w:r w:rsidR="00AC36CA">
        <w:t>that will</w:t>
      </w:r>
      <w:r w:rsidR="00A36CD7">
        <w:t xml:space="preserve"> provide specific guidance for either or both </w:t>
      </w:r>
      <w:r w:rsidR="0081540D">
        <w:t xml:space="preserve">tall </w:t>
      </w:r>
      <w:r w:rsidR="00667694">
        <w:t>buildings</w:t>
      </w:r>
      <w:r w:rsidR="0081540D">
        <w:t xml:space="preserve"> (as per London Plan 2021</w:t>
      </w:r>
      <w:r w:rsidR="002F7699">
        <w:t xml:space="preserve">, or as </w:t>
      </w:r>
      <w:r w:rsidR="00BE4FC8">
        <w:t>contextually</w:t>
      </w:r>
      <w:r w:rsidR="00707464">
        <w:t xml:space="preserve"> tall</w:t>
      </w:r>
      <w:r w:rsidR="004D5F6C">
        <w:t>)</w:t>
      </w:r>
      <w:r w:rsidR="008176D9">
        <w:t>. The t</w:t>
      </w:r>
      <w:r w:rsidR="00E658AD">
        <w:t>r</w:t>
      </w:r>
      <w:r w:rsidR="008176D9">
        <w:t xml:space="preserve">affic light system will </w:t>
      </w:r>
      <w:r w:rsidR="00E658AD">
        <w:t>direct</w:t>
      </w:r>
      <w:r w:rsidR="008176D9">
        <w:t xml:space="preserve"> applicants </w:t>
      </w:r>
      <w:r w:rsidR="00E658AD">
        <w:t xml:space="preserve">which of the </w:t>
      </w:r>
      <w:r w:rsidR="00866E86">
        <w:t>design guidance is relevant to their specific scheme, which will be determined by its height</w:t>
      </w:r>
      <w:bookmarkStart w:id="26" w:name="_Int_YOhjkl6g"/>
      <w:r w:rsidR="402CF7F8">
        <w:t xml:space="preserve">. </w:t>
      </w:r>
      <w:bookmarkEnd w:id="26"/>
      <w:r w:rsidR="009D3C90">
        <w:t>This process is set out in the diagram below (extracted from the draft SPD).</w:t>
      </w:r>
    </w:p>
    <w:p w14:paraId="6FC12F28" w14:textId="77777777" w:rsidR="00B15D0F" w:rsidRDefault="00B15D0F" w:rsidP="00D72AAB">
      <w:pPr>
        <w:ind w:left="720" w:hanging="720"/>
        <w:jc w:val="both"/>
      </w:pPr>
    </w:p>
    <w:p w14:paraId="5563C3FF" w14:textId="734A275E" w:rsidR="00F50B5F" w:rsidRDefault="41E37CC1" w:rsidP="4565EAA7">
      <w:pPr>
        <w:ind w:left="720" w:hanging="720"/>
        <w:jc w:val="both"/>
      </w:pPr>
      <w:r>
        <w:t xml:space="preserve">          </w:t>
      </w:r>
      <w:r w:rsidR="66EBB196">
        <w:t xml:space="preserve">   </w:t>
      </w:r>
      <w:r>
        <w:t xml:space="preserve">  </w:t>
      </w:r>
      <w:r w:rsidR="28E3A8AD">
        <w:t xml:space="preserve"> </w:t>
      </w:r>
      <w:r>
        <w:t xml:space="preserve">  </w:t>
      </w:r>
      <w:r w:rsidR="38D2D52A">
        <w:rPr>
          <w:noProof/>
        </w:rPr>
        <w:drawing>
          <wp:inline distT="0" distB="0" distL="0" distR="0" wp14:anchorId="75B5D22E" wp14:editId="0427542A">
            <wp:extent cx="4610098" cy="4748598"/>
            <wp:effectExtent l="0" t="0" r="0" b="0"/>
            <wp:docPr id="1917605022" name="Picture 1917605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60502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10098" cy="4748598"/>
                    </a:xfrm>
                    <a:prstGeom prst="rect">
                      <a:avLst/>
                    </a:prstGeom>
                  </pic:spPr>
                </pic:pic>
              </a:graphicData>
            </a:graphic>
          </wp:inline>
        </w:drawing>
      </w:r>
    </w:p>
    <w:p w14:paraId="7BD59D18" w14:textId="4EB90BF3" w:rsidR="00030749" w:rsidRDefault="00030749" w:rsidP="00D72AAB">
      <w:pPr>
        <w:keepNext/>
        <w:ind w:left="720"/>
        <w:jc w:val="both"/>
      </w:pPr>
    </w:p>
    <w:p w14:paraId="39483D5D" w14:textId="37D715F4" w:rsidR="007922CB" w:rsidRDefault="341369DF" w:rsidP="11CE1E5C">
      <w:pPr>
        <w:ind w:left="720" w:hanging="720"/>
        <w:jc w:val="both"/>
      </w:pPr>
      <w:r>
        <w:t>5.</w:t>
      </w:r>
      <w:r w:rsidR="1DD84BBA">
        <w:t>10</w:t>
      </w:r>
      <w:r>
        <w:tab/>
        <w:t xml:space="preserve">Once it is determined which guidance a scheme is required to be considered against, applicants will be expected to demonstrate in supporting information an assessment of their scheme against the relevant objectives, </w:t>
      </w:r>
      <w:bookmarkStart w:id="27" w:name="_Int_HEqOfdbl"/>
      <w:r w:rsidR="2B20568E">
        <w:t>principles,</w:t>
      </w:r>
      <w:bookmarkEnd w:id="27"/>
      <w:r>
        <w:t xml:space="preserve"> and associated guidance. The guidance is contained with Chapter </w:t>
      </w:r>
      <w:r w:rsidR="0AFA6A57">
        <w:t>3</w:t>
      </w:r>
      <w:r>
        <w:t xml:space="preserve"> of the draft SPD, which is attached as Appendix 1</w:t>
      </w:r>
      <w:r w:rsidR="188B846F">
        <w:t xml:space="preserve">. </w:t>
      </w:r>
    </w:p>
    <w:p w14:paraId="74E9D098" w14:textId="77777777" w:rsidR="00CE19B7" w:rsidRDefault="00CE19B7" w:rsidP="007D20EA">
      <w:pPr>
        <w:ind w:left="720" w:hanging="720"/>
        <w:jc w:val="both"/>
      </w:pPr>
    </w:p>
    <w:p w14:paraId="04491B27" w14:textId="62EE3F90" w:rsidR="00CE19B7" w:rsidRPr="0065136D" w:rsidRDefault="00CE19B7" w:rsidP="004B20B2">
      <w:pPr>
        <w:keepNext/>
        <w:ind w:left="720" w:hanging="720"/>
        <w:jc w:val="both"/>
        <w:rPr>
          <w:szCs w:val="24"/>
        </w:rPr>
      </w:pPr>
      <w:r w:rsidRPr="004D79F6">
        <w:rPr>
          <w:szCs w:val="24"/>
        </w:rPr>
        <w:t>5.11</w:t>
      </w:r>
      <w:r w:rsidRPr="004D79F6">
        <w:rPr>
          <w:szCs w:val="24"/>
        </w:rPr>
        <w:tab/>
      </w:r>
      <w:r w:rsidR="00BA04BF" w:rsidRPr="004D79F6">
        <w:rPr>
          <w:szCs w:val="24"/>
        </w:rPr>
        <w:t xml:space="preserve">Chapter 3 </w:t>
      </w:r>
      <w:r w:rsidR="00205A92" w:rsidRPr="004B20B2">
        <w:rPr>
          <w:szCs w:val="24"/>
        </w:rPr>
        <w:t xml:space="preserve">follows </w:t>
      </w:r>
      <w:r w:rsidR="00943DA8" w:rsidRPr="004B20B2">
        <w:rPr>
          <w:szCs w:val="24"/>
        </w:rPr>
        <w:t xml:space="preserve">the following three overarching </w:t>
      </w:r>
      <w:r w:rsidR="00943DA8" w:rsidRPr="007C36F1">
        <w:rPr>
          <w:szCs w:val="24"/>
        </w:rPr>
        <w:t>themes</w:t>
      </w:r>
      <w:r w:rsidR="00943DA8" w:rsidRPr="001C33F8">
        <w:rPr>
          <w:szCs w:val="24"/>
        </w:rPr>
        <w:t>:</w:t>
      </w:r>
    </w:p>
    <w:p w14:paraId="2652AD24" w14:textId="77777777" w:rsidR="00943DA8" w:rsidRPr="0054051E" w:rsidRDefault="00943DA8" w:rsidP="004B20B2">
      <w:pPr>
        <w:keepNext/>
        <w:ind w:left="720" w:hanging="720"/>
        <w:jc w:val="both"/>
        <w:rPr>
          <w:szCs w:val="24"/>
        </w:rPr>
      </w:pPr>
    </w:p>
    <w:p w14:paraId="3F6B3651" w14:textId="41B24563" w:rsidR="007922CB" w:rsidRPr="000661CF" w:rsidRDefault="00173E28" w:rsidP="00173E28">
      <w:pPr>
        <w:keepNext/>
        <w:ind w:left="1418" w:hanging="698"/>
        <w:jc w:val="both"/>
        <w:rPr>
          <w:szCs w:val="24"/>
        </w:rPr>
      </w:pPr>
      <w:r w:rsidRPr="000661CF">
        <w:rPr>
          <w:szCs w:val="24"/>
        </w:rPr>
        <w:t>(a)</w:t>
      </w:r>
      <w:r w:rsidRPr="000661CF">
        <w:rPr>
          <w:szCs w:val="24"/>
        </w:rPr>
        <w:tab/>
      </w:r>
      <w:r w:rsidR="007D749C" w:rsidRPr="000661CF">
        <w:rPr>
          <w:szCs w:val="24"/>
        </w:rPr>
        <w:t>Addressing Place</w:t>
      </w:r>
    </w:p>
    <w:p w14:paraId="3A62EFEF" w14:textId="61FE777D" w:rsidR="007D749C" w:rsidRPr="000661CF" w:rsidRDefault="007D749C" w:rsidP="00173E28">
      <w:pPr>
        <w:keepNext/>
        <w:ind w:left="1418" w:hanging="698"/>
        <w:jc w:val="both"/>
        <w:rPr>
          <w:szCs w:val="24"/>
        </w:rPr>
      </w:pPr>
      <w:r w:rsidRPr="000661CF">
        <w:rPr>
          <w:szCs w:val="24"/>
        </w:rPr>
        <w:t>(b)</w:t>
      </w:r>
      <w:r w:rsidRPr="000661CF">
        <w:rPr>
          <w:szCs w:val="24"/>
        </w:rPr>
        <w:tab/>
        <w:t>Delivering Quality</w:t>
      </w:r>
    </w:p>
    <w:p w14:paraId="3DEDC20A" w14:textId="3F650989" w:rsidR="007D749C" w:rsidRPr="000661CF" w:rsidRDefault="007D749C" w:rsidP="003570AB">
      <w:pPr>
        <w:ind w:left="1418" w:hanging="698"/>
        <w:jc w:val="both"/>
        <w:rPr>
          <w:szCs w:val="24"/>
        </w:rPr>
      </w:pPr>
      <w:r w:rsidRPr="000661CF">
        <w:rPr>
          <w:szCs w:val="24"/>
        </w:rPr>
        <w:t>(c)</w:t>
      </w:r>
      <w:r w:rsidRPr="000661CF">
        <w:rPr>
          <w:szCs w:val="24"/>
        </w:rPr>
        <w:tab/>
        <w:t>Creating Good Growth</w:t>
      </w:r>
    </w:p>
    <w:p w14:paraId="4AA4E273" w14:textId="77777777" w:rsidR="00173E28" w:rsidRPr="000661CF" w:rsidRDefault="00173E28" w:rsidP="003570AB">
      <w:pPr>
        <w:ind w:left="720"/>
        <w:jc w:val="both"/>
        <w:rPr>
          <w:szCs w:val="24"/>
        </w:rPr>
      </w:pPr>
    </w:p>
    <w:p w14:paraId="7C8D03E8" w14:textId="617FF69B" w:rsidR="007D749C" w:rsidRDefault="007D749C" w:rsidP="004D79F6">
      <w:pPr>
        <w:keepNext/>
        <w:ind w:left="720" w:hanging="720"/>
        <w:jc w:val="both"/>
        <w:rPr>
          <w:rStyle w:val="A6"/>
          <w:sz w:val="24"/>
          <w:szCs w:val="24"/>
        </w:rPr>
      </w:pPr>
      <w:r w:rsidRPr="000661CF">
        <w:rPr>
          <w:szCs w:val="24"/>
        </w:rPr>
        <w:t>5.12</w:t>
      </w:r>
      <w:r w:rsidRPr="000661CF">
        <w:rPr>
          <w:szCs w:val="24"/>
        </w:rPr>
        <w:tab/>
        <w:t xml:space="preserve">The Addressing Place theme </w:t>
      </w:r>
      <w:r w:rsidR="00312C5C" w:rsidRPr="000661CF">
        <w:rPr>
          <w:szCs w:val="24"/>
        </w:rPr>
        <w:t>has the objectives (a) responding the character of suburban Metroland</w:t>
      </w:r>
      <w:r w:rsidR="005601A0" w:rsidRPr="000661CF">
        <w:rPr>
          <w:szCs w:val="24"/>
        </w:rPr>
        <w:t>, (b) protect built and landscape heritage, and (c) locate height</w:t>
      </w:r>
      <w:r w:rsidR="008C370C" w:rsidRPr="000661CF">
        <w:rPr>
          <w:szCs w:val="24"/>
        </w:rPr>
        <w:t xml:space="preserve"> appropriately</w:t>
      </w:r>
      <w:r w:rsidR="007C36F1" w:rsidRPr="000661CF">
        <w:rPr>
          <w:szCs w:val="24"/>
        </w:rPr>
        <w:t>; these link building heights to location and context</w:t>
      </w:r>
      <w:r w:rsidR="008C370C" w:rsidRPr="000661CF">
        <w:rPr>
          <w:szCs w:val="24"/>
        </w:rPr>
        <w:t xml:space="preserve">. Of particularly note in the context in which the document has been prepared </w:t>
      </w:r>
      <w:r w:rsidR="00E109C2" w:rsidRPr="000661CF">
        <w:rPr>
          <w:szCs w:val="24"/>
        </w:rPr>
        <w:t xml:space="preserve">is </w:t>
      </w:r>
      <w:r w:rsidR="00E109C2" w:rsidRPr="000661CF">
        <w:rPr>
          <w:szCs w:val="24"/>
        </w:rPr>
        <w:lastRenderedPageBreak/>
        <w:t xml:space="preserve">the </w:t>
      </w:r>
      <w:r w:rsidR="002F4A3E" w:rsidRPr="000661CF">
        <w:rPr>
          <w:szCs w:val="24"/>
        </w:rPr>
        <w:t>guidance that ‘</w:t>
      </w:r>
      <w:r w:rsidR="002F4A3E" w:rsidRPr="000661CF">
        <w:rPr>
          <w:rStyle w:val="A6"/>
          <w:sz w:val="24"/>
          <w:szCs w:val="24"/>
        </w:rPr>
        <w:t>Given the strong character across suburban Metroland, specifically in relation to heights being between 2-3 storeys, proposals that meet the London Plan (2021) tall building definition (6 storeys or 18 metres</w:t>
      </w:r>
      <w:r w:rsidR="002F4A3E" w:rsidRPr="004D79F6">
        <w:rPr>
          <w:rStyle w:val="A6"/>
          <w:sz w:val="24"/>
          <w:szCs w:val="24"/>
        </w:rPr>
        <w:t xml:space="preserve"> measured from ground to the floor level of the uppermost storey), would not be supported</w:t>
      </w:r>
      <w:r w:rsidR="0065136D">
        <w:rPr>
          <w:rStyle w:val="A6"/>
          <w:sz w:val="24"/>
          <w:szCs w:val="24"/>
        </w:rPr>
        <w:t>’</w:t>
      </w:r>
      <w:r w:rsidR="002F4A3E" w:rsidRPr="004D79F6">
        <w:rPr>
          <w:rStyle w:val="A6"/>
          <w:sz w:val="24"/>
          <w:szCs w:val="24"/>
        </w:rPr>
        <w:t xml:space="preserve"> (see Design Principle A2</w:t>
      </w:r>
      <w:r w:rsidR="00FA6D15">
        <w:rPr>
          <w:rStyle w:val="A6"/>
          <w:sz w:val="24"/>
          <w:szCs w:val="24"/>
        </w:rPr>
        <w:t>).</w:t>
      </w:r>
    </w:p>
    <w:p w14:paraId="1D5DCA4D" w14:textId="77777777" w:rsidR="000E509E" w:rsidRDefault="000E509E" w:rsidP="004D79F6">
      <w:pPr>
        <w:keepNext/>
        <w:ind w:left="720" w:hanging="720"/>
        <w:jc w:val="both"/>
        <w:rPr>
          <w:szCs w:val="24"/>
          <w:u w:val="single"/>
        </w:rPr>
      </w:pPr>
    </w:p>
    <w:p w14:paraId="16B4FA8A" w14:textId="1BB819AD" w:rsidR="000E509E" w:rsidRPr="000661CF" w:rsidRDefault="000E509E" w:rsidP="004D79F6">
      <w:pPr>
        <w:keepNext/>
        <w:ind w:left="720" w:hanging="720"/>
        <w:jc w:val="both"/>
        <w:rPr>
          <w:szCs w:val="24"/>
        </w:rPr>
      </w:pPr>
      <w:r w:rsidRPr="000661CF">
        <w:rPr>
          <w:szCs w:val="24"/>
        </w:rPr>
        <w:t>5.13</w:t>
      </w:r>
      <w:r w:rsidRPr="000661CF">
        <w:rPr>
          <w:szCs w:val="24"/>
        </w:rPr>
        <w:tab/>
      </w:r>
      <w:r w:rsidR="005405EC" w:rsidRPr="000661CF">
        <w:rPr>
          <w:szCs w:val="24"/>
        </w:rPr>
        <w:t xml:space="preserve">The themes of Delivering Quality and Creating Good Growth </w:t>
      </w:r>
      <w:r w:rsidR="004604B3" w:rsidRPr="000661CF">
        <w:rPr>
          <w:szCs w:val="24"/>
        </w:rPr>
        <w:t xml:space="preserve">provide guidance in relation to design and </w:t>
      </w:r>
      <w:r w:rsidR="001C33F8" w:rsidRPr="000661CF">
        <w:rPr>
          <w:szCs w:val="24"/>
        </w:rPr>
        <w:t>outcomes (‘good growth’)</w:t>
      </w:r>
      <w:r w:rsidR="001F5284" w:rsidRPr="000661CF">
        <w:rPr>
          <w:szCs w:val="24"/>
        </w:rPr>
        <w:t>.</w:t>
      </w:r>
    </w:p>
    <w:p w14:paraId="32CB350A" w14:textId="77777777" w:rsidR="007D749C" w:rsidRPr="004D79F6" w:rsidRDefault="007D749C" w:rsidP="00D72AAB">
      <w:pPr>
        <w:keepNext/>
        <w:ind w:left="720"/>
        <w:jc w:val="both"/>
        <w:rPr>
          <w:szCs w:val="24"/>
          <w:u w:val="single"/>
        </w:rPr>
      </w:pPr>
    </w:p>
    <w:p w14:paraId="3F9024BF" w14:textId="4CF8A870" w:rsidR="00A87F98" w:rsidRPr="003979FB" w:rsidRDefault="00A87F98" w:rsidP="00D72AAB">
      <w:pPr>
        <w:keepNext/>
        <w:ind w:left="720"/>
        <w:jc w:val="both"/>
        <w:rPr>
          <w:u w:val="single"/>
        </w:rPr>
      </w:pPr>
      <w:r w:rsidRPr="003979FB">
        <w:rPr>
          <w:u w:val="single"/>
        </w:rPr>
        <w:t xml:space="preserve">Conclusion </w:t>
      </w:r>
    </w:p>
    <w:p w14:paraId="562AC898" w14:textId="77777777" w:rsidR="00251C7F" w:rsidRPr="003979FB" w:rsidRDefault="00251C7F" w:rsidP="00D72AAB">
      <w:pPr>
        <w:keepNext/>
        <w:ind w:left="720"/>
        <w:jc w:val="both"/>
        <w:rPr>
          <w:u w:val="single"/>
        </w:rPr>
      </w:pPr>
    </w:p>
    <w:p w14:paraId="17DE7ADF" w14:textId="7CC61CFC" w:rsidR="00A87F98" w:rsidRPr="003F382E" w:rsidRDefault="31B74672" w:rsidP="11CE1E5C">
      <w:pPr>
        <w:ind w:left="720" w:hanging="720"/>
        <w:jc w:val="both"/>
      </w:pPr>
      <w:r>
        <w:t>5.</w:t>
      </w:r>
      <w:r w:rsidR="1DD84BBA">
        <w:t>1</w:t>
      </w:r>
      <w:r w:rsidR="138AF801">
        <w:t>4</w:t>
      </w:r>
      <w:r>
        <w:tab/>
      </w:r>
      <w:r w:rsidR="318AE404">
        <w:t xml:space="preserve">The draft SPD seeks to provide </w:t>
      </w:r>
      <w:r w:rsidR="70A2F0DE">
        <w:t xml:space="preserve">a </w:t>
      </w:r>
      <w:r w:rsidR="4B66C75B">
        <w:t>context-based</w:t>
      </w:r>
      <w:r w:rsidR="70A2F0DE">
        <w:t xml:space="preserve"> approach to delivering height across the </w:t>
      </w:r>
      <w:r w:rsidR="51ACD314">
        <w:t xml:space="preserve">suburbs of the </w:t>
      </w:r>
      <w:r w:rsidR="70A2F0DE">
        <w:t>borough</w:t>
      </w:r>
      <w:r w:rsidR="4C36A502">
        <w:t>, and to ensure that developments are of a high design quality</w:t>
      </w:r>
      <w:r w:rsidR="3D358636">
        <w:t xml:space="preserve"> specifically where they are taller than the surrounding </w:t>
      </w:r>
      <w:r w:rsidR="7FE81ED2">
        <w:t>buildings and pattern of development</w:t>
      </w:r>
      <w:bookmarkStart w:id="28" w:name="_Int_xMP9Ffua"/>
      <w:r w:rsidR="3A39D785">
        <w:t xml:space="preserve">. </w:t>
      </w:r>
      <w:bookmarkEnd w:id="28"/>
      <w:r w:rsidR="70A2F0DE">
        <w:t xml:space="preserve">  </w:t>
      </w:r>
      <w:r w:rsidR="5AE5AA4B">
        <w:t xml:space="preserve"> </w:t>
      </w:r>
    </w:p>
    <w:p w14:paraId="0A13DDA4" w14:textId="77777777" w:rsidR="00251C7F" w:rsidRPr="003F382E" w:rsidRDefault="00251C7F" w:rsidP="00D72AAB">
      <w:pPr>
        <w:ind w:left="720" w:hanging="720"/>
        <w:jc w:val="both"/>
      </w:pPr>
    </w:p>
    <w:p w14:paraId="4A1D8FF9" w14:textId="6992D72A" w:rsidR="00410C2B" w:rsidRPr="003F382E" w:rsidRDefault="00E539D4" w:rsidP="00D72AAB">
      <w:pPr>
        <w:pStyle w:val="Heading2"/>
        <w:keepNext/>
        <w:jc w:val="both"/>
        <w:rPr>
          <w:rFonts w:ascii="Arial" w:hAnsi="Arial"/>
          <w:sz w:val="28"/>
          <w:szCs w:val="28"/>
        </w:rPr>
      </w:pPr>
      <w:r>
        <w:rPr>
          <w:rFonts w:ascii="Arial" w:hAnsi="Arial"/>
          <w:sz w:val="28"/>
          <w:szCs w:val="28"/>
        </w:rPr>
        <w:t>6</w:t>
      </w:r>
      <w:r w:rsidR="00263F78" w:rsidRPr="003F382E">
        <w:rPr>
          <w:rFonts w:ascii="Arial" w:hAnsi="Arial"/>
          <w:sz w:val="28"/>
          <w:szCs w:val="28"/>
        </w:rPr>
        <w:t>.0</w:t>
      </w:r>
      <w:r w:rsidR="0046728D" w:rsidRPr="003F382E">
        <w:rPr>
          <w:rFonts w:ascii="Arial" w:hAnsi="Arial"/>
          <w:sz w:val="28"/>
          <w:szCs w:val="28"/>
        </w:rPr>
        <w:tab/>
      </w:r>
      <w:r w:rsidR="00410C2B" w:rsidRPr="003F382E">
        <w:rPr>
          <w:rFonts w:ascii="Arial" w:hAnsi="Arial"/>
          <w:sz w:val="28"/>
          <w:szCs w:val="28"/>
        </w:rPr>
        <w:t>Implications of the Recommendation</w:t>
      </w:r>
      <w:r w:rsidR="00693C71">
        <w:rPr>
          <w:rFonts w:ascii="Arial" w:hAnsi="Arial"/>
          <w:sz w:val="28"/>
          <w:szCs w:val="28"/>
        </w:rPr>
        <w:t>s</w:t>
      </w:r>
    </w:p>
    <w:p w14:paraId="0D7845AD" w14:textId="77777777" w:rsidR="001011BD" w:rsidRDefault="001011BD" w:rsidP="00D72AAB">
      <w:pPr>
        <w:pStyle w:val="Heading3"/>
        <w:keepNext/>
        <w:rPr>
          <w:sz w:val="24"/>
          <w:szCs w:val="24"/>
        </w:rPr>
      </w:pPr>
    </w:p>
    <w:p w14:paraId="6B29144D" w14:textId="2DF0E46F" w:rsidR="00410C2B" w:rsidRPr="006C3E34" w:rsidRDefault="00410C2B" w:rsidP="00D72AAB">
      <w:pPr>
        <w:pStyle w:val="Heading3"/>
        <w:keepNext/>
        <w:ind w:left="1440"/>
        <w:rPr>
          <w:i/>
          <w:iCs/>
        </w:rPr>
      </w:pPr>
      <w:r w:rsidRPr="006C3E34">
        <w:rPr>
          <w:i/>
          <w:iCs/>
        </w:rPr>
        <w:t>Considerations</w:t>
      </w:r>
    </w:p>
    <w:p w14:paraId="21FCCDCD" w14:textId="77777777" w:rsidR="00410C2B" w:rsidRPr="001E52D5" w:rsidRDefault="00410C2B" w:rsidP="00D72AAB">
      <w:pPr>
        <w:keepNext/>
        <w:jc w:val="both"/>
        <w:rPr>
          <w:sz w:val="28"/>
          <w:szCs w:val="28"/>
        </w:rPr>
      </w:pPr>
    </w:p>
    <w:p w14:paraId="7A7006D0" w14:textId="7DFD0668" w:rsidR="00410C2B" w:rsidRPr="001E52D5" w:rsidRDefault="00E539D4" w:rsidP="00D72AAB">
      <w:pPr>
        <w:pStyle w:val="Heading4"/>
        <w:jc w:val="both"/>
        <w:rPr>
          <w:sz w:val="28"/>
          <w:szCs w:val="28"/>
        </w:rPr>
      </w:pPr>
      <w:r w:rsidRPr="001E52D5">
        <w:rPr>
          <w:sz w:val="28"/>
          <w:szCs w:val="28"/>
        </w:rPr>
        <w:t>7</w:t>
      </w:r>
      <w:r w:rsidR="004C3182" w:rsidRPr="001E52D5">
        <w:rPr>
          <w:sz w:val="28"/>
          <w:szCs w:val="28"/>
        </w:rPr>
        <w:t>.0</w:t>
      </w:r>
      <w:r w:rsidR="004C3182" w:rsidRPr="001E52D5">
        <w:rPr>
          <w:sz w:val="28"/>
          <w:szCs w:val="28"/>
        </w:rPr>
        <w:tab/>
      </w:r>
      <w:r w:rsidR="00410C2B" w:rsidRPr="001E52D5">
        <w:rPr>
          <w:sz w:val="28"/>
          <w:szCs w:val="28"/>
        </w:rPr>
        <w:t>Resourc</w:t>
      </w:r>
      <w:r w:rsidR="00123A4E" w:rsidRPr="001E52D5">
        <w:rPr>
          <w:sz w:val="28"/>
          <w:szCs w:val="28"/>
        </w:rPr>
        <w:t>ing</w:t>
      </w:r>
    </w:p>
    <w:p w14:paraId="36C2557F" w14:textId="32CF8995" w:rsidR="00410C2B" w:rsidRPr="001E52D5" w:rsidRDefault="00410C2B" w:rsidP="00D72AAB">
      <w:pPr>
        <w:keepNext/>
        <w:jc w:val="both"/>
        <w:rPr>
          <w:sz w:val="28"/>
          <w:szCs w:val="28"/>
        </w:rPr>
      </w:pPr>
    </w:p>
    <w:p w14:paraId="5EDDD60B" w14:textId="3B1D1CAB" w:rsidR="002552A4" w:rsidRDefault="00E539D4" w:rsidP="00D72AAB">
      <w:pPr>
        <w:ind w:left="720" w:hanging="720"/>
        <w:jc w:val="both"/>
        <w:rPr>
          <w:szCs w:val="24"/>
        </w:rPr>
      </w:pPr>
      <w:r>
        <w:rPr>
          <w:szCs w:val="24"/>
        </w:rPr>
        <w:t>7</w:t>
      </w:r>
      <w:r w:rsidR="004C3182" w:rsidRPr="003F382E">
        <w:rPr>
          <w:szCs w:val="24"/>
        </w:rPr>
        <w:t>.1</w:t>
      </w:r>
      <w:r w:rsidR="004C3182" w:rsidRPr="003F382E">
        <w:rPr>
          <w:szCs w:val="24"/>
        </w:rPr>
        <w:tab/>
      </w:r>
      <w:r w:rsidR="002552A4" w:rsidRPr="003F382E">
        <w:rPr>
          <w:szCs w:val="24"/>
        </w:rPr>
        <w:t xml:space="preserve">The project </w:t>
      </w:r>
      <w:r w:rsidR="00693C71">
        <w:rPr>
          <w:szCs w:val="24"/>
        </w:rPr>
        <w:t>is</w:t>
      </w:r>
      <w:r w:rsidR="00693C71" w:rsidRPr="003F382E">
        <w:rPr>
          <w:szCs w:val="24"/>
        </w:rPr>
        <w:t xml:space="preserve"> </w:t>
      </w:r>
      <w:r w:rsidR="002552A4" w:rsidRPr="003F382E">
        <w:rPr>
          <w:szCs w:val="24"/>
        </w:rPr>
        <w:t>be</w:t>
      </w:r>
      <w:r w:rsidR="00693C71">
        <w:rPr>
          <w:szCs w:val="24"/>
        </w:rPr>
        <w:t>ing</w:t>
      </w:r>
      <w:r w:rsidR="002552A4" w:rsidRPr="003F382E">
        <w:rPr>
          <w:szCs w:val="24"/>
        </w:rPr>
        <w:t xml:space="preserve"> </w:t>
      </w:r>
      <w:r w:rsidR="006802EB" w:rsidRPr="003F382E">
        <w:rPr>
          <w:szCs w:val="24"/>
        </w:rPr>
        <w:t xml:space="preserve">resourced </w:t>
      </w:r>
      <w:r w:rsidR="0053060F" w:rsidRPr="003F382E">
        <w:rPr>
          <w:szCs w:val="24"/>
        </w:rPr>
        <w:t>internally by the Planning Policy Team</w:t>
      </w:r>
      <w:r w:rsidR="005A6BE9" w:rsidRPr="003F382E">
        <w:rPr>
          <w:szCs w:val="24"/>
        </w:rPr>
        <w:t xml:space="preserve">, from the </w:t>
      </w:r>
      <w:r w:rsidR="00223A6B" w:rsidRPr="003F382E">
        <w:rPr>
          <w:szCs w:val="24"/>
        </w:rPr>
        <w:t xml:space="preserve">existing </w:t>
      </w:r>
      <w:r w:rsidR="00C75E3D" w:rsidRPr="003F382E">
        <w:rPr>
          <w:szCs w:val="24"/>
        </w:rPr>
        <w:t xml:space="preserve">revenue </w:t>
      </w:r>
      <w:r w:rsidR="0027373D" w:rsidRPr="003F382E">
        <w:rPr>
          <w:szCs w:val="24"/>
        </w:rPr>
        <w:t>budget</w:t>
      </w:r>
      <w:r w:rsidR="00223A6B" w:rsidRPr="003F382E">
        <w:rPr>
          <w:szCs w:val="24"/>
        </w:rPr>
        <w:t>.</w:t>
      </w:r>
      <w:r w:rsidR="00455DA7">
        <w:rPr>
          <w:szCs w:val="24"/>
        </w:rPr>
        <w:t xml:space="preserve"> Significant input </w:t>
      </w:r>
      <w:r w:rsidR="00997AE4">
        <w:rPr>
          <w:szCs w:val="24"/>
        </w:rPr>
        <w:t xml:space="preserve">has </w:t>
      </w:r>
      <w:r w:rsidR="00455DA7">
        <w:rPr>
          <w:szCs w:val="24"/>
        </w:rPr>
        <w:t>be</w:t>
      </w:r>
      <w:r w:rsidR="00997AE4">
        <w:rPr>
          <w:szCs w:val="24"/>
        </w:rPr>
        <w:t>en</w:t>
      </w:r>
      <w:r w:rsidR="00455DA7">
        <w:rPr>
          <w:szCs w:val="24"/>
        </w:rPr>
        <w:t xml:space="preserve"> required from the Council’s Principal Urban Design Officer (located within Development Management).</w:t>
      </w:r>
      <w:r w:rsidR="00314270">
        <w:rPr>
          <w:szCs w:val="24"/>
        </w:rPr>
        <w:t xml:space="preserve"> </w:t>
      </w:r>
    </w:p>
    <w:p w14:paraId="6EE8BFD4" w14:textId="77777777" w:rsidR="00314270" w:rsidRDefault="00314270" w:rsidP="00D72AAB">
      <w:pPr>
        <w:ind w:left="720" w:hanging="720"/>
        <w:jc w:val="both"/>
        <w:rPr>
          <w:szCs w:val="24"/>
        </w:rPr>
      </w:pPr>
    </w:p>
    <w:p w14:paraId="07721F76" w14:textId="49BEA3EA" w:rsidR="00314270" w:rsidRPr="003F382E" w:rsidRDefault="00314270" w:rsidP="00D72AAB">
      <w:pPr>
        <w:ind w:left="720" w:hanging="720"/>
        <w:jc w:val="both"/>
      </w:pPr>
      <w:r>
        <w:t>7.2</w:t>
      </w:r>
      <w:r>
        <w:tab/>
      </w:r>
      <w:r w:rsidR="00CD401C">
        <w:t xml:space="preserve">Were it decided to seek </w:t>
      </w:r>
      <w:r>
        <w:t xml:space="preserve">additional </w:t>
      </w:r>
      <w:r w:rsidR="00D705E8">
        <w:t>external draft</w:t>
      </w:r>
      <w:r w:rsidR="005C41A0">
        <w:t>ing</w:t>
      </w:r>
      <w:r w:rsidR="00D705E8">
        <w:t xml:space="preserve"> </w:t>
      </w:r>
      <w:r>
        <w:t>input (</w:t>
      </w:r>
      <w:bookmarkStart w:id="29" w:name="_Int_4tCaHPRb"/>
      <w:proofErr w:type="gramStart"/>
      <w:r w:rsidR="00D705E8">
        <w:t>i.</w:t>
      </w:r>
      <w:r w:rsidR="005C41A0">
        <w:t>e</w:t>
      </w:r>
      <w:r w:rsidR="00D705E8">
        <w:t>.</w:t>
      </w:r>
      <w:bookmarkEnd w:id="29"/>
      <w:proofErr w:type="gramEnd"/>
      <w:r w:rsidR="005C41A0">
        <w:t xml:space="preserve"> </w:t>
      </w:r>
      <w:r>
        <w:t>external graphic design</w:t>
      </w:r>
      <w:r w:rsidR="00D705E8">
        <w:t xml:space="preserve"> or </w:t>
      </w:r>
      <w:r w:rsidR="00C97414">
        <w:t xml:space="preserve">procurement of </w:t>
      </w:r>
      <w:r w:rsidR="00D705E8">
        <w:t>additional internal design software</w:t>
      </w:r>
      <w:r w:rsidR="00CD401C">
        <w:t>) as suggested by the Design Review Panel</w:t>
      </w:r>
      <w:r w:rsidR="00D705E8">
        <w:t>, or additional Counsel advice</w:t>
      </w:r>
      <w:r w:rsidR="002E3580">
        <w:t xml:space="preserve"> sought, this </w:t>
      </w:r>
      <w:r w:rsidR="003560E6">
        <w:t xml:space="preserve">would require additional budget </w:t>
      </w:r>
      <w:r w:rsidR="005C41A0">
        <w:t>to be identified.</w:t>
      </w:r>
    </w:p>
    <w:p w14:paraId="1046E7BE" w14:textId="6A49BAB6" w:rsidR="00410C2B" w:rsidRPr="001E52D5" w:rsidRDefault="00E539D4" w:rsidP="00EA280B">
      <w:pPr>
        <w:keepNext/>
        <w:spacing w:before="240"/>
        <w:jc w:val="both"/>
        <w:rPr>
          <w:b/>
          <w:sz w:val="28"/>
          <w:szCs w:val="28"/>
        </w:rPr>
      </w:pPr>
      <w:r w:rsidRPr="001E52D5">
        <w:rPr>
          <w:b/>
          <w:sz w:val="28"/>
          <w:szCs w:val="28"/>
        </w:rPr>
        <w:t>8</w:t>
      </w:r>
      <w:r w:rsidR="004F51ED" w:rsidRPr="001E52D5">
        <w:rPr>
          <w:b/>
          <w:sz w:val="28"/>
          <w:szCs w:val="28"/>
        </w:rPr>
        <w:t>.0</w:t>
      </w:r>
      <w:r w:rsidR="004F51ED" w:rsidRPr="001E52D5">
        <w:rPr>
          <w:b/>
          <w:sz w:val="28"/>
          <w:szCs w:val="28"/>
        </w:rPr>
        <w:tab/>
      </w:r>
      <w:r w:rsidR="00410C2B" w:rsidRPr="001E52D5">
        <w:rPr>
          <w:b/>
          <w:sz w:val="28"/>
          <w:szCs w:val="28"/>
        </w:rPr>
        <w:t xml:space="preserve">Ward Councillors’ comments </w:t>
      </w:r>
    </w:p>
    <w:p w14:paraId="0B3514A8" w14:textId="0CDBDB59" w:rsidR="00410C2B" w:rsidRPr="001E52D5" w:rsidRDefault="00410C2B" w:rsidP="00EA280B">
      <w:pPr>
        <w:keepNext/>
        <w:jc w:val="both"/>
        <w:rPr>
          <w:b/>
          <w:sz w:val="28"/>
          <w:szCs w:val="28"/>
        </w:rPr>
      </w:pPr>
    </w:p>
    <w:p w14:paraId="4B6FA9B5" w14:textId="5818189B" w:rsidR="00CF4FFE" w:rsidRPr="003F382E" w:rsidRDefault="00E539D4" w:rsidP="00D72AAB">
      <w:pPr>
        <w:ind w:left="720" w:hanging="720"/>
        <w:jc w:val="both"/>
      </w:pPr>
      <w:r>
        <w:t>8</w:t>
      </w:r>
      <w:r w:rsidR="004F51ED" w:rsidRPr="003F382E">
        <w:t>.1</w:t>
      </w:r>
      <w:r w:rsidR="004F51ED" w:rsidRPr="003F382E">
        <w:tab/>
      </w:r>
      <w:r w:rsidR="00480229" w:rsidRPr="003F382E">
        <w:t>Ward Councillor input will be sought during any formal consultation</w:t>
      </w:r>
      <w:r w:rsidR="001F5206" w:rsidRPr="003F382E">
        <w:t xml:space="preserve"> </w:t>
      </w:r>
      <w:r w:rsidR="00997AE4">
        <w:t>on the draft document</w:t>
      </w:r>
      <w:r w:rsidR="00480229" w:rsidRPr="003F382E">
        <w:t>.</w:t>
      </w:r>
    </w:p>
    <w:p w14:paraId="1A661175" w14:textId="77777777" w:rsidR="00480229" w:rsidRPr="003F382E" w:rsidRDefault="00480229" w:rsidP="00D72AAB">
      <w:pPr>
        <w:jc w:val="both"/>
        <w:rPr>
          <w:b/>
        </w:rPr>
      </w:pPr>
    </w:p>
    <w:p w14:paraId="5B02BBD4" w14:textId="7A42804C" w:rsidR="00167ACC" w:rsidRPr="001E52D5" w:rsidRDefault="00E539D4" w:rsidP="00E44008">
      <w:pPr>
        <w:pStyle w:val="Heading4"/>
        <w:tabs>
          <w:tab w:val="left" w:pos="3600"/>
        </w:tabs>
        <w:ind w:left="709" w:hanging="709"/>
        <w:jc w:val="both"/>
        <w:rPr>
          <w:sz w:val="28"/>
          <w:szCs w:val="28"/>
        </w:rPr>
      </w:pPr>
      <w:r w:rsidRPr="001E52D5">
        <w:rPr>
          <w:sz w:val="28"/>
          <w:szCs w:val="28"/>
        </w:rPr>
        <w:t>9</w:t>
      </w:r>
      <w:r w:rsidR="004F51ED" w:rsidRPr="001E52D5">
        <w:rPr>
          <w:sz w:val="28"/>
          <w:szCs w:val="28"/>
        </w:rPr>
        <w:t>.0</w:t>
      </w:r>
      <w:r w:rsidR="001011BD" w:rsidRPr="001E52D5">
        <w:rPr>
          <w:sz w:val="28"/>
          <w:szCs w:val="28"/>
        </w:rPr>
        <w:tab/>
      </w:r>
      <w:r w:rsidR="00167ACC" w:rsidRPr="001E52D5">
        <w:rPr>
          <w:sz w:val="28"/>
          <w:szCs w:val="28"/>
        </w:rPr>
        <w:t>Performance Issues</w:t>
      </w:r>
    </w:p>
    <w:p w14:paraId="77DD0999" w14:textId="77777777" w:rsidR="004F51ED" w:rsidRPr="001E52D5" w:rsidRDefault="004F51ED" w:rsidP="00E44008">
      <w:pPr>
        <w:keepNext/>
        <w:jc w:val="both"/>
        <w:rPr>
          <w:sz w:val="28"/>
          <w:szCs w:val="28"/>
        </w:rPr>
      </w:pPr>
    </w:p>
    <w:p w14:paraId="12EC96EA" w14:textId="288F0DBD" w:rsidR="00167ACC" w:rsidRPr="003F382E" w:rsidRDefault="00E539D4" w:rsidP="00D72AAB">
      <w:pPr>
        <w:pStyle w:val="paragraph"/>
        <w:spacing w:before="0" w:beforeAutospacing="0" w:after="0" w:afterAutospacing="0"/>
        <w:ind w:left="720" w:hanging="720"/>
        <w:jc w:val="both"/>
        <w:textAlignment w:val="baseline"/>
        <w:rPr>
          <w:rFonts w:ascii="Arial" w:hAnsi="Arial" w:cs="Arial"/>
          <w:sz w:val="18"/>
          <w:szCs w:val="18"/>
        </w:rPr>
      </w:pPr>
      <w:r>
        <w:rPr>
          <w:rFonts w:ascii="Arial" w:hAnsi="Arial" w:cs="Arial"/>
        </w:rPr>
        <w:t>9</w:t>
      </w:r>
      <w:r w:rsidR="004F51ED" w:rsidRPr="003F382E">
        <w:rPr>
          <w:rFonts w:ascii="Arial" w:hAnsi="Arial" w:cs="Arial"/>
        </w:rPr>
        <w:t>.1</w:t>
      </w:r>
      <w:r w:rsidR="004F51ED" w:rsidRPr="003F382E">
        <w:rPr>
          <w:rFonts w:ascii="Arial" w:hAnsi="Arial" w:cs="Arial"/>
        </w:rPr>
        <w:tab/>
      </w:r>
      <w:r w:rsidR="00292647" w:rsidRPr="003F382E">
        <w:rPr>
          <w:rFonts w:ascii="Arial" w:hAnsi="Arial" w:cs="Arial"/>
        </w:rPr>
        <w:t xml:space="preserve">None: Report is for information purposes </w:t>
      </w:r>
      <w:r w:rsidR="0018277D">
        <w:rPr>
          <w:rFonts w:ascii="Arial" w:hAnsi="Arial" w:cs="Arial"/>
        </w:rPr>
        <w:t xml:space="preserve">and comment </w:t>
      </w:r>
      <w:r w:rsidR="00292647" w:rsidRPr="003F382E">
        <w:rPr>
          <w:rFonts w:ascii="Arial" w:hAnsi="Arial" w:cs="Arial"/>
        </w:rPr>
        <w:t xml:space="preserve">only. </w:t>
      </w:r>
      <w:r w:rsidR="00617E69" w:rsidRPr="003F382E">
        <w:rPr>
          <w:rFonts w:ascii="Arial" w:hAnsi="Arial" w:cs="Arial"/>
        </w:rPr>
        <w:t xml:space="preserve">Performance issues will be considered as part of any future Cabinet Report. </w:t>
      </w:r>
    </w:p>
    <w:p w14:paraId="19665093" w14:textId="77777777" w:rsidR="00167ACC" w:rsidRPr="003F382E" w:rsidRDefault="00167ACC" w:rsidP="00D72AAB">
      <w:pPr>
        <w:pStyle w:val="paragraph"/>
        <w:spacing w:before="0" w:beforeAutospacing="0" w:after="0" w:afterAutospacing="0"/>
        <w:jc w:val="both"/>
        <w:textAlignment w:val="baseline"/>
        <w:rPr>
          <w:rFonts w:ascii="Segoe UI" w:hAnsi="Segoe UI" w:cs="Segoe UI"/>
          <w:sz w:val="18"/>
          <w:szCs w:val="18"/>
        </w:rPr>
      </w:pPr>
      <w:r w:rsidRPr="003F382E">
        <w:rPr>
          <w:rStyle w:val="eop"/>
          <w:rFonts w:ascii="Arial" w:hAnsi="Arial" w:cs="Arial"/>
        </w:rPr>
        <w:t> </w:t>
      </w:r>
    </w:p>
    <w:p w14:paraId="052DC869" w14:textId="1560B405" w:rsidR="00167ACC" w:rsidRPr="001E52D5" w:rsidRDefault="004F51ED" w:rsidP="0023135A">
      <w:pPr>
        <w:pStyle w:val="Heading4"/>
        <w:jc w:val="both"/>
        <w:rPr>
          <w:sz w:val="28"/>
          <w:szCs w:val="28"/>
        </w:rPr>
      </w:pPr>
      <w:r w:rsidRPr="001E52D5">
        <w:rPr>
          <w:sz w:val="28"/>
          <w:szCs w:val="28"/>
        </w:rPr>
        <w:t>1</w:t>
      </w:r>
      <w:r w:rsidR="00E539D4" w:rsidRPr="001E52D5">
        <w:rPr>
          <w:sz w:val="28"/>
          <w:szCs w:val="28"/>
        </w:rPr>
        <w:t>0</w:t>
      </w:r>
      <w:r w:rsidRPr="001E52D5">
        <w:rPr>
          <w:sz w:val="28"/>
          <w:szCs w:val="28"/>
        </w:rPr>
        <w:t>.0</w:t>
      </w:r>
      <w:r w:rsidRPr="001E52D5">
        <w:rPr>
          <w:sz w:val="28"/>
          <w:szCs w:val="28"/>
        </w:rPr>
        <w:tab/>
      </w:r>
      <w:r w:rsidR="00167ACC" w:rsidRPr="001E52D5">
        <w:rPr>
          <w:sz w:val="28"/>
          <w:szCs w:val="28"/>
        </w:rPr>
        <w:t>Environmental Implications</w:t>
      </w:r>
    </w:p>
    <w:p w14:paraId="4848F28D" w14:textId="77777777" w:rsidR="004F51ED" w:rsidRPr="001E52D5" w:rsidRDefault="004F51ED" w:rsidP="0023135A">
      <w:pPr>
        <w:keepNext/>
        <w:jc w:val="both"/>
        <w:rPr>
          <w:sz w:val="28"/>
          <w:szCs w:val="28"/>
        </w:rPr>
      </w:pPr>
    </w:p>
    <w:p w14:paraId="15DCD2CA" w14:textId="021E68EF" w:rsidR="00BF460B" w:rsidRPr="003F382E" w:rsidRDefault="004F51ED" w:rsidP="00D72AAB">
      <w:pPr>
        <w:pStyle w:val="paragraph"/>
        <w:spacing w:before="0" w:beforeAutospacing="0" w:after="0" w:afterAutospacing="0"/>
        <w:ind w:left="720" w:hanging="720"/>
        <w:jc w:val="both"/>
        <w:textAlignment w:val="baseline"/>
        <w:rPr>
          <w:rFonts w:ascii="Arial" w:hAnsi="Arial" w:cs="Arial"/>
          <w:sz w:val="18"/>
          <w:szCs w:val="18"/>
        </w:rPr>
      </w:pPr>
      <w:r w:rsidRPr="003F382E">
        <w:rPr>
          <w:rFonts w:ascii="Arial" w:hAnsi="Arial" w:cs="Arial"/>
        </w:rPr>
        <w:t>1</w:t>
      </w:r>
      <w:r w:rsidR="00E539D4">
        <w:rPr>
          <w:rFonts w:ascii="Arial" w:hAnsi="Arial" w:cs="Arial"/>
        </w:rPr>
        <w:t>0</w:t>
      </w:r>
      <w:r w:rsidRPr="003F382E">
        <w:rPr>
          <w:rFonts w:ascii="Arial" w:hAnsi="Arial" w:cs="Arial"/>
        </w:rPr>
        <w:t>.1</w:t>
      </w:r>
      <w:r w:rsidRPr="003F382E">
        <w:rPr>
          <w:rFonts w:ascii="Arial" w:hAnsi="Arial" w:cs="Arial"/>
        </w:rPr>
        <w:tab/>
      </w:r>
      <w:r w:rsidR="00BF460B" w:rsidRPr="003F382E">
        <w:rPr>
          <w:rFonts w:ascii="Arial" w:hAnsi="Arial" w:cs="Arial"/>
        </w:rPr>
        <w:t xml:space="preserve">None: Report is for information purposes </w:t>
      </w:r>
      <w:r w:rsidR="0018277D">
        <w:rPr>
          <w:rFonts w:ascii="Arial" w:hAnsi="Arial" w:cs="Arial"/>
        </w:rPr>
        <w:t xml:space="preserve">and comment </w:t>
      </w:r>
      <w:r w:rsidR="00BF460B" w:rsidRPr="003F382E">
        <w:rPr>
          <w:rFonts w:ascii="Arial" w:hAnsi="Arial" w:cs="Arial"/>
        </w:rPr>
        <w:t xml:space="preserve">only. Environmental implications will be considered as part of any future Cabinet Report. </w:t>
      </w:r>
    </w:p>
    <w:p w14:paraId="29881D9D" w14:textId="77777777" w:rsidR="007620F2" w:rsidRPr="003F382E" w:rsidRDefault="007620F2" w:rsidP="00D72AAB">
      <w:pPr>
        <w:pStyle w:val="paragraph"/>
        <w:spacing w:before="0" w:beforeAutospacing="0" w:after="0" w:afterAutospacing="0"/>
        <w:jc w:val="both"/>
        <w:textAlignment w:val="baseline"/>
        <w:rPr>
          <w:rStyle w:val="eop"/>
          <w:rFonts w:ascii="Arial" w:hAnsi="Arial" w:cs="Arial"/>
        </w:rPr>
      </w:pPr>
    </w:p>
    <w:p w14:paraId="375AE31F" w14:textId="31F27D9D" w:rsidR="00167ACC" w:rsidRPr="001E52D5" w:rsidRDefault="004F51ED" w:rsidP="0023135A">
      <w:pPr>
        <w:pStyle w:val="Heading4"/>
        <w:jc w:val="both"/>
        <w:rPr>
          <w:sz w:val="28"/>
          <w:szCs w:val="28"/>
        </w:rPr>
      </w:pPr>
      <w:r w:rsidRPr="001E52D5">
        <w:rPr>
          <w:sz w:val="28"/>
          <w:szCs w:val="28"/>
        </w:rPr>
        <w:lastRenderedPageBreak/>
        <w:t>1</w:t>
      </w:r>
      <w:r w:rsidR="00E539D4" w:rsidRPr="001E52D5">
        <w:rPr>
          <w:sz w:val="28"/>
          <w:szCs w:val="28"/>
        </w:rPr>
        <w:t>1</w:t>
      </w:r>
      <w:r w:rsidRPr="001E52D5">
        <w:rPr>
          <w:sz w:val="28"/>
          <w:szCs w:val="28"/>
        </w:rPr>
        <w:t>.0</w:t>
      </w:r>
      <w:r w:rsidRPr="001E52D5">
        <w:rPr>
          <w:sz w:val="28"/>
          <w:szCs w:val="28"/>
        </w:rPr>
        <w:tab/>
      </w:r>
      <w:r w:rsidR="00167ACC" w:rsidRPr="001E52D5">
        <w:rPr>
          <w:sz w:val="28"/>
          <w:szCs w:val="28"/>
        </w:rPr>
        <w:t>Data Protection Implications</w:t>
      </w:r>
    </w:p>
    <w:p w14:paraId="2A385EC1" w14:textId="77777777" w:rsidR="002E364E" w:rsidRPr="001E52D5" w:rsidRDefault="002E364E" w:rsidP="0023135A">
      <w:pPr>
        <w:keepNext/>
        <w:ind w:left="720" w:hanging="720"/>
        <w:jc w:val="both"/>
        <w:rPr>
          <w:sz w:val="28"/>
          <w:szCs w:val="28"/>
        </w:rPr>
      </w:pPr>
    </w:p>
    <w:p w14:paraId="739C8ABD" w14:textId="2C185C93" w:rsidR="007253F1" w:rsidRPr="003F382E" w:rsidRDefault="004F51ED" w:rsidP="00D72AAB">
      <w:pPr>
        <w:ind w:left="720" w:hanging="720"/>
        <w:jc w:val="both"/>
      </w:pPr>
      <w:r w:rsidRPr="003F382E">
        <w:t>1</w:t>
      </w:r>
      <w:r w:rsidR="00E539D4">
        <w:t>1</w:t>
      </w:r>
      <w:r w:rsidRPr="003F382E">
        <w:t>.1</w:t>
      </w:r>
      <w:r w:rsidRPr="003F382E">
        <w:tab/>
      </w:r>
      <w:r w:rsidR="007253F1" w:rsidRPr="003F382E">
        <w:t xml:space="preserve">None: The report is prepared for information </w:t>
      </w:r>
      <w:r w:rsidR="009F43EF" w:rsidRPr="003F382E">
        <w:t xml:space="preserve">purposes </w:t>
      </w:r>
      <w:r w:rsidR="0018277D">
        <w:t xml:space="preserve">and comment </w:t>
      </w:r>
      <w:r w:rsidR="009F43EF" w:rsidRPr="003F382E">
        <w:t xml:space="preserve">only for the Planning Policy Advisory </w:t>
      </w:r>
      <w:r w:rsidR="00F01809" w:rsidRPr="003F382E">
        <w:t xml:space="preserve">Panel, which is noted as being a publicly accessible forum </w:t>
      </w:r>
    </w:p>
    <w:p w14:paraId="4F1DD34B" w14:textId="77777777" w:rsidR="009B468E" w:rsidRDefault="009B468E" w:rsidP="009B468E">
      <w:pPr>
        <w:pStyle w:val="Heading4"/>
        <w:jc w:val="both"/>
        <w:rPr>
          <w:szCs w:val="24"/>
        </w:rPr>
      </w:pPr>
    </w:p>
    <w:p w14:paraId="0782BDE3" w14:textId="5C3DEF9A" w:rsidR="009B468E" w:rsidRPr="001E52D5" w:rsidRDefault="009B468E" w:rsidP="009B468E">
      <w:pPr>
        <w:pStyle w:val="Heading4"/>
        <w:jc w:val="both"/>
        <w:rPr>
          <w:sz w:val="28"/>
          <w:szCs w:val="28"/>
        </w:rPr>
      </w:pPr>
      <w:r w:rsidRPr="001E52D5">
        <w:rPr>
          <w:sz w:val="28"/>
          <w:szCs w:val="28"/>
        </w:rPr>
        <w:t>12.0</w:t>
      </w:r>
      <w:r w:rsidRPr="001E52D5">
        <w:rPr>
          <w:sz w:val="28"/>
          <w:szCs w:val="28"/>
        </w:rPr>
        <w:tab/>
        <w:t>Procurement Implications</w:t>
      </w:r>
    </w:p>
    <w:p w14:paraId="5D53EC61" w14:textId="77777777" w:rsidR="009B468E" w:rsidRPr="001E52D5" w:rsidRDefault="009B468E" w:rsidP="009B468E">
      <w:pPr>
        <w:rPr>
          <w:sz w:val="28"/>
          <w:szCs w:val="28"/>
        </w:rPr>
      </w:pPr>
    </w:p>
    <w:p w14:paraId="3DBB6E81" w14:textId="37E0E3E5" w:rsidR="009B468E" w:rsidRDefault="009B468E" w:rsidP="009B468E">
      <w:pPr>
        <w:ind w:left="720" w:hanging="720"/>
        <w:jc w:val="both"/>
      </w:pPr>
      <w:r>
        <w:t>12.1</w:t>
      </w:r>
      <w:r>
        <w:tab/>
        <w:t xml:space="preserve">There are no procurement implications arising from this report as it is limited to seeking comment and feedback on a draft SPD and to comment the document to Cabinet for approval to consult. </w:t>
      </w:r>
    </w:p>
    <w:p w14:paraId="66DEAC3E" w14:textId="77777777" w:rsidR="009B468E" w:rsidRPr="003F382E" w:rsidRDefault="009B468E" w:rsidP="00D72AAB">
      <w:pPr>
        <w:tabs>
          <w:tab w:val="left" w:pos="7245"/>
        </w:tabs>
        <w:jc w:val="both"/>
        <w:rPr>
          <w:i/>
        </w:rPr>
      </w:pPr>
    </w:p>
    <w:p w14:paraId="76449499" w14:textId="64D1D443" w:rsidR="00167ACC" w:rsidRPr="001E52D5" w:rsidRDefault="004F51ED" w:rsidP="00D72AAB">
      <w:pPr>
        <w:pStyle w:val="Heading3"/>
        <w:keepNext/>
      </w:pPr>
      <w:r w:rsidRPr="001E52D5">
        <w:t>1</w:t>
      </w:r>
      <w:r w:rsidR="006556AF" w:rsidRPr="001E52D5">
        <w:t>3</w:t>
      </w:r>
      <w:r w:rsidRPr="001E52D5">
        <w:t>.0</w:t>
      </w:r>
      <w:r w:rsidRPr="001E52D5">
        <w:tab/>
      </w:r>
      <w:r w:rsidR="00167ACC" w:rsidRPr="001E52D5">
        <w:t>Risk Management Implications</w:t>
      </w:r>
    </w:p>
    <w:p w14:paraId="1B87076E" w14:textId="77777777" w:rsidR="00167ACC" w:rsidRPr="001E52D5" w:rsidRDefault="00167ACC" w:rsidP="00D72AAB">
      <w:pPr>
        <w:keepNext/>
        <w:tabs>
          <w:tab w:val="left" w:pos="5610"/>
        </w:tabs>
        <w:ind w:right="81"/>
        <w:jc w:val="both"/>
        <w:rPr>
          <w:rFonts w:cs="Arial"/>
          <w:sz w:val="28"/>
          <w:szCs w:val="28"/>
        </w:rPr>
      </w:pPr>
    </w:p>
    <w:p w14:paraId="2634C17B" w14:textId="4331E628" w:rsidR="00167ACC" w:rsidRPr="003F382E" w:rsidRDefault="00167ACC" w:rsidP="00D72AAB">
      <w:pPr>
        <w:tabs>
          <w:tab w:val="left" w:pos="5610"/>
        </w:tabs>
        <w:ind w:right="81"/>
        <w:jc w:val="both"/>
      </w:pPr>
      <w:r w:rsidRPr="003F382E">
        <w:rPr>
          <w:rFonts w:cs="Arial"/>
          <w:szCs w:val="24"/>
        </w:rPr>
        <w:t xml:space="preserve">Risks included on corporate or directorate risk </w:t>
      </w:r>
      <w:proofErr w:type="gramStart"/>
      <w:r w:rsidRPr="003F382E">
        <w:rPr>
          <w:rFonts w:cs="Arial"/>
          <w:szCs w:val="24"/>
        </w:rPr>
        <w:t>register?</w:t>
      </w:r>
      <w:proofErr w:type="gramEnd"/>
      <w:r w:rsidRPr="003F382E">
        <w:rPr>
          <w:rFonts w:cs="Arial"/>
          <w:szCs w:val="24"/>
        </w:rPr>
        <w:t xml:space="preserve"> </w:t>
      </w:r>
      <w:r w:rsidRPr="003F382E">
        <w:rPr>
          <w:rFonts w:cs="Arial"/>
          <w:b/>
          <w:bCs/>
          <w:szCs w:val="24"/>
        </w:rPr>
        <w:t>No</w:t>
      </w:r>
      <w:r w:rsidRPr="003F382E">
        <w:rPr>
          <w:rFonts w:cs="Arial"/>
          <w:szCs w:val="24"/>
        </w:rPr>
        <w:t xml:space="preserve"> </w:t>
      </w:r>
    </w:p>
    <w:p w14:paraId="50EF6034" w14:textId="77777777" w:rsidR="00167ACC" w:rsidRPr="003F382E" w:rsidRDefault="00167ACC" w:rsidP="00D72AAB">
      <w:pPr>
        <w:ind w:left="-142" w:right="141"/>
        <w:jc w:val="both"/>
        <w:rPr>
          <w:rFonts w:cs="Arial"/>
          <w:szCs w:val="24"/>
          <w:lang w:eastAsia="en-GB"/>
        </w:rPr>
      </w:pPr>
      <w:r w:rsidRPr="003F382E">
        <w:rPr>
          <w:rFonts w:cs="Arial"/>
          <w:szCs w:val="24"/>
          <w:lang w:eastAsia="en-GB"/>
        </w:rPr>
        <w:t xml:space="preserve">  </w:t>
      </w:r>
    </w:p>
    <w:p w14:paraId="0A4A808A" w14:textId="5BDFBEDC" w:rsidR="00167ACC" w:rsidRPr="003F382E" w:rsidRDefault="00167ACC" w:rsidP="00D72AAB">
      <w:pPr>
        <w:ind w:left="-142" w:right="141" w:firstLine="142"/>
        <w:jc w:val="both"/>
        <w:rPr>
          <w:rFonts w:cs="Arial"/>
          <w:color w:val="4F81BD" w:themeColor="accent1"/>
          <w:szCs w:val="24"/>
          <w:lang w:eastAsia="en-GB"/>
        </w:rPr>
      </w:pPr>
      <w:r w:rsidRPr="003F382E">
        <w:rPr>
          <w:rFonts w:cs="Arial"/>
          <w:szCs w:val="24"/>
          <w:lang w:eastAsia="en-GB"/>
        </w:rPr>
        <w:t xml:space="preserve">Separate risk </w:t>
      </w:r>
      <w:proofErr w:type="gramStart"/>
      <w:r w:rsidRPr="003F382E">
        <w:rPr>
          <w:rFonts w:cs="Arial"/>
          <w:szCs w:val="24"/>
          <w:lang w:eastAsia="en-GB"/>
        </w:rPr>
        <w:t>register</w:t>
      </w:r>
      <w:proofErr w:type="gramEnd"/>
      <w:r w:rsidRPr="003F382E">
        <w:rPr>
          <w:rFonts w:cs="Arial"/>
          <w:szCs w:val="24"/>
          <w:lang w:eastAsia="en-GB"/>
        </w:rPr>
        <w:t xml:space="preserve"> in place? </w:t>
      </w:r>
      <w:r w:rsidRPr="003F382E">
        <w:rPr>
          <w:rFonts w:cs="Arial"/>
          <w:b/>
          <w:bCs/>
          <w:szCs w:val="24"/>
          <w:lang w:eastAsia="en-GB"/>
        </w:rPr>
        <w:t>No</w:t>
      </w:r>
      <w:r w:rsidRPr="003F382E">
        <w:rPr>
          <w:rFonts w:cs="Arial"/>
          <w:szCs w:val="24"/>
          <w:lang w:eastAsia="en-GB"/>
        </w:rPr>
        <w:t xml:space="preserve"> </w:t>
      </w:r>
    </w:p>
    <w:p w14:paraId="6731D2D8" w14:textId="77777777" w:rsidR="00167ACC" w:rsidRPr="003F382E" w:rsidRDefault="00167ACC" w:rsidP="00D72AAB">
      <w:pPr>
        <w:tabs>
          <w:tab w:val="left" w:pos="5610"/>
        </w:tabs>
        <w:ind w:left="567" w:right="81" w:hanging="567"/>
        <w:jc w:val="both"/>
      </w:pPr>
    </w:p>
    <w:p w14:paraId="7D72A8D1" w14:textId="78EA47CF" w:rsidR="00167ACC" w:rsidRPr="003F382E" w:rsidRDefault="00167ACC" w:rsidP="00D72AAB">
      <w:pPr>
        <w:tabs>
          <w:tab w:val="left" w:pos="5610"/>
        </w:tabs>
        <w:ind w:right="81"/>
        <w:jc w:val="both"/>
      </w:pPr>
      <w:r w:rsidRPr="003F382E">
        <w:t xml:space="preserve">The relevant risks contained in the register are attached/summarised below. </w:t>
      </w:r>
      <w:r w:rsidR="00AC1BBF" w:rsidRPr="003F382E">
        <w:rPr>
          <w:rFonts w:cs="Arial"/>
          <w:b/>
          <w:bCs/>
          <w:szCs w:val="24"/>
          <w:lang w:eastAsia="en-GB"/>
        </w:rPr>
        <w:t>N/A</w:t>
      </w:r>
    </w:p>
    <w:p w14:paraId="32C35FE6" w14:textId="77777777" w:rsidR="00167ACC" w:rsidRPr="003F382E" w:rsidRDefault="00167ACC" w:rsidP="00D72AAB">
      <w:pPr>
        <w:jc w:val="both"/>
      </w:pPr>
    </w:p>
    <w:p w14:paraId="0C42CBB5" w14:textId="74F9AB09" w:rsidR="00167ACC" w:rsidRPr="003F382E" w:rsidRDefault="00167ACC" w:rsidP="00D72AAB">
      <w:pPr>
        <w:jc w:val="both"/>
      </w:pPr>
      <w:r w:rsidRPr="003F382E">
        <w:t xml:space="preserve">The following key risks should be </w:t>
      </w:r>
      <w:bookmarkStart w:id="30" w:name="_Int_WefD2HXo"/>
      <w:r w:rsidR="491D0DCC">
        <w:t>considered</w:t>
      </w:r>
      <w:bookmarkEnd w:id="30"/>
      <w:r w:rsidRPr="003F382E">
        <w:t xml:space="preserve"> when agreeing the recommendations in this report:</w:t>
      </w:r>
    </w:p>
    <w:p w14:paraId="798D875D" w14:textId="77777777" w:rsidR="00167ACC" w:rsidRPr="003F382E" w:rsidRDefault="00167ACC" w:rsidP="00D72AAB">
      <w:pPr>
        <w:ind w:left="567" w:right="141" w:hanging="567"/>
        <w:jc w:val="both"/>
        <w:rPr>
          <w:rFonts w:cs="Arial"/>
          <w:szCs w:val="24"/>
          <w:lang w:eastAsia="en-GB"/>
        </w:rPr>
      </w:pPr>
    </w:p>
    <w:tbl>
      <w:tblPr>
        <w:tblW w:w="8635"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267"/>
        <w:gridCol w:w="3298"/>
        <w:gridCol w:w="2070"/>
      </w:tblGrid>
      <w:tr w:rsidR="00167ACC" w:rsidRPr="003F382E" w14:paraId="6CCADB40" w14:textId="77777777" w:rsidTr="798E702D">
        <w:trPr>
          <w:tblHeader/>
        </w:trPr>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458EE5DC" w14:textId="77777777" w:rsidR="00167ACC" w:rsidRPr="003F382E" w:rsidRDefault="00167ACC" w:rsidP="00D72AAB">
            <w:pPr>
              <w:spacing w:line="247" w:lineRule="auto"/>
              <w:ind w:right="141"/>
              <w:jc w:val="both"/>
              <w:rPr>
                <w:rFonts w:cs="Arial"/>
                <w:b/>
                <w:bCs/>
                <w:szCs w:val="24"/>
                <w:lang w:eastAsia="en-GB"/>
              </w:rPr>
            </w:pPr>
            <w:r w:rsidRPr="003F382E">
              <w:rPr>
                <w:rFonts w:cs="Arial"/>
                <w:b/>
                <w:bCs/>
                <w:szCs w:val="24"/>
                <w:lang w:eastAsia="en-GB"/>
              </w:rPr>
              <w:t>Risk Description</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1614F221" w14:textId="77777777" w:rsidR="00167ACC" w:rsidRPr="003F382E" w:rsidRDefault="00167ACC" w:rsidP="00D72AAB">
            <w:pPr>
              <w:spacing w:line="247" w:lineRule="auto"/>
              <w:ind w:right="141"/>
              <w:jc w:val="both"/>
              <w:rPr>
                <w:rFonts w:cs="Arial"/>
                <w:b/>
                <w:bCs/>
                <w:szCs w:val="24"/>
                <w:lang w:eastAsia="en-GB"/>
              </w:rPr>
            </w:pPr>
            <w:r w:rsidRPr="003F382E">
              <w:rPr>
                <w:rFonts w:cs="Arial"/>
                <w:b/>
                <w:bCs/>
                <w:szCs w:val="24"/>
                <w:lang w:eastAsia="en-GB"/>
              </w:rPr>
              <w:t>Mitigations</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99A139" w14:textId="77777777" w:rsidR="00167ACC" w:rsidRPr="003F382E" w:rsidRDefault="00167ACC" w:rsidP="00D72AAB">
            <w:pPr>
              <w:spacing w:line="247" w:lineRule="auto"/>
              <w:ind w:left="171" w:right="141"/>
              <w:jc w:val="both"/>
              <w:rPr>
                <w:rFonts w:cs="Arial"/>
                <w:b/>
                <w:bCs/>
                <w:szCs w:val="24"/>
                <w:lang w:eastAsia="en-GB"/>
              </w:rPr>
            </w:pPr>
            <w:r w:rsidRPr="003F382E">
              <w:rPr>
                <w:rFonts w:cs="Arial"/>
                <w:b/>
                <w:bCs/>
                <w:szCs w:val="24"/>
                <w:lang w:eastAsia="en-GB"/>
              </w:rPr>
              <w:t>RAG Status</w:t>
            </w:r>
          </w:p>
        </w:tc>
      </w:tr>
      <w:tr w:rsidR="00167ACC" w:rsidRPr="003F382E" w14:paraId="5D4AD6C3" w14:textId="77777777" w:rsidTr="798E702D">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BFE48BC" w14:textId="77777777" w:rsidR="007E1B6A" w:rsidRPr="003F382E" w:rsidRDefault="007E1B6A" w:rsidP="00D72AAB">
            <w:pPr>
              <w:spacing w:line="247" w:lineRule="auto"/>
              <w:ind w:right="141"/>
              <w:jc w:val="both"/>
              <w:rPr>
                <w:rFonts w:cs="Arial"/>
                <w:sz w:val="22"/>
                <w:szCs w:val="22"/>
                <w:lang w:eastAsia="en-GB"/>
              </w:rPr>
            </w:pPr>
            <w:r w:rsidRPr="003F382E">
              <w:rPr>
                <w:rFonts w:cs="Arial"/>
                <w:sz w:val="22"/>
                <w:szCs w:val="22"/>
                <w:lang w:eastAsia="en-GB"/>
              </w:rPr>
              <w:t>Non-compliance with regulatory requirements for the preparation of any guidance (</w:t>
            </w:r>
            <w:bookmarkStart w:id="31" w:name="_Int_jihgatzk"/>
            <w:proofErr w:type="gramStart"/>
            <w:r w:rsidRPr="003F382E">
              <w:rPr>
                <w:rFonts w:cs="Arial"/>
                <w:sz w:val="22"/>
                <w:szCs w:val="22"/>
                <w:lang w:eastAsia="en-GB"/>
              </w:rPr>
              <w:t>i.e.</w:t>
            </w:r>
            <w:bookmarkEnd w:id="31"/>
            <w:proofErr w:type="gramEnd"/>
            <w:r w:rsidRPr="003F382E">
              <w:rPr>
                <w:rFonts w:cs="Arial"/>
                <w:sz w:val="22"/>
                <w:szCs w:val="22"/>
                <w:lang w:eastAsia="en-GB"/>
              </w:rPr>
              <w:t xml:space="preserve"> scope of guidance, process.)</w:t>
            </w:r>
          </w:p>
          <w:p w14:paraId="3D4A1465" w14:textId="1C971B48" w:rsidR="00167ACC" w:rsidRPr="003F382E" w:rsidRDefault="00C17DAE" w:rsidP="00D72AAB">
            <w:pPr>
              <w:spacing w:line="247" w:lineRule="auto"/>
              <w:ind w:right="141"/>
              <w:jc w:val="both"/>
              <w:rPr>
                <w:rFonts w:cs="Arial"/>
                <w:sz w:val="22"/>
                <w:szCs w:val="22"/>
                <w:lang w:eastAsia="en-GB"/>
              </w:rPr>
            </w:pPr>
            <w:r w:rsidRPr="003F382E">
              <w:rPr>
                <w:rFonts w:cs="Arial"/>
                <w:sz w:val="22"/>
                <w:szCs w:val="22"/>
                <w:lang w:eastAsia="en-GB"/>
              </w:rPr>
              <w:t xml:space="preserve"> </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4BD06C8" w14:textId="77777777" w:rsidR="003B68AE" w:rsidRDefault="003B68AE" w:rsidP="00D72AAB">
            <w:pPr>
              <w:pStyle w:val="ListParagraph"/>
              <w:numPr>
                <w:ilvl w:val="0"/>
                <w:numId w:val="1"/>
              </w:numPr>
              <w:suppressAutoHyphens/>
              <w:autoSpaceDN w:val="0"/>
              <w:spacing w:line="247" w:lineRule="auto"/>
              <w:ind w:left="171" w:right="141" w:hanging="171"/>
              <w:jc w:val="both"/>
            </w:pPr>
            <w:r w:rsidRPr="003F382E">
              <w:t>Scope of guidance will have regard to previous Counsel advice regarding this</w:t>
            </w:r>
          </w:p>
          <w:p w14:paraId="5135329D" w14:textId="52C4A1FE" w:rsidR="00E44008" w:rsidRPr="003F382E" w:rsidRDefault="00E44008" w:rsidP="00D72AAB">
            <w:pPr>
              <w:pStyle w:val="ListParagraph"/>
              <w:numPr>
                <w:ilvl w:val="0"/>
                <w:numId w:val="1"/>
              </w:numPr>
              <w:suppressAutoHyphens/>
              <w:autoSpaceDN w:val="0"/>
              <w:spacing w:line="247" w:lineRule="auto"/>
              <w:ind w:left="171" w:right="141" w:hanging="171"/>
              <w:jc w:val="both"/>
            </w:pPr>
            <w:r>
              <w:t xml:space="preserve">Consideration to be given to obtaining </w:t>
            </w:r>
            <w:r w:rsidR="00205B4F">
              <w:t xml:space="preserve">further Counsel advice on the draft document to confirm statutory compliance and to advise on </w:t>
            </w:r>
            <w:r w:rsidR="00632155">
              <w:t>the robustness and defensibility to draft</w:t>
            </w:r>
          </w:p>
          <w:p w14:paraId="06B9E831" w14:textId="6E805FF3" w:rsidR="00752426" w:rsidRPr="003F382E" w:rsidRDefault="003B68AE" w:rsidP="00D72AAB">
            <w:pPr>
              <w:pStyle w:val="ListParagraph"/>
              <w:numPr>
                <w:ilvl w:val="0"/>
                <w:numId w:val="1"/>
              </w:numPr>
              <w:suppressAutoHyphens/>
              <w:autoSpaceDN w:val="0"/>
              <w:spacing w:line="247" w:lineRule="auto"/>
              <w:ind w:left="171" w:right="141" w:hanging="171"/>
              <w:jc w:val="both"/>
            </w:pPr>
            <w:r w:rsidRPr="003F382E">
              <w:t xml:space="preserve">Process (including formal consultation) managed to ensure it complies with regulatory requirements </w:t>
            </w:r>
          </w:p>
          <w:p w14:paraId="59FBEEC7" w14:textId="54E26455" w:rsidR="003B68AE" w:rsidRPr="003F382E" w:rsidRDefault="003B68AE" w:rsidP="00D72AAB">
            <w:pPr>
              <w:pStyle w:val="ListParagraph"/>
              <w:suppressAutoHyphens/>
              <w:autoSpaceDN w:val="0"/>
              <w:spacing w:line="247" w:lineRule="auto"/>
              <w:ind w:left="171" w:right="141"/>
              <w:jc w:val="both"/>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hideMark/>
          </w:tcPr>
          <w:p w14:paraId="03D6AA2B" w14:textId="77777777" w:rsidR="00167ACC" w:rsidRPr="003F382E" w:rsidRDefault="00167ACC" w:rsidP="000661CF">
            <w:pPr>
              <w:spacing w:line="247" w:lineRule="auto"/>
              <w:ind w:left="171" w:right="141"/>
              <w:jc w:val="center"/>
              <w:rPr>
                <w:rFonts w:cs="Arial"/>
                <w:szCs w:val="24"/>
                <w:lang w:eastAsia="en-GB"/>
              </w:rPr>
            </w:pPr>
            <w:r w:rsidRPr="003F382E">
              <w:rPr>
                <w:rFonts w:cs="Arial"/>
                <w:szCs w:val="24"/>
                <w:lang w:eastAsia="en-GB"/>
              </w:rPr>
              <w:t>Green</w:t>
            </w:r>
          </w:p>
        </w:tc>
      </w:tr>
      <w:tr w:rsidR="00167ACC" w:rsidRPr="003F382E" w14:paraId="50394804" w14:textId="77777777" w:rsidTr="798E702D">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B1DD7F3" w14:textId="21DBBF76" w:rsidR="00167ACC" w:rsidRPr="003F382E" w:rsidRDefault="00A07546" w:rsidP="00D72AAB">
            <w:pPr>
              <w:spacing w:line="247" w:lineRule="auto"/>
              <w:ind w:right="141"/>
              <w:jc w:val="both"/>
              <w:rPr>
                <w:rFonts w:cs="Arial"/>
                <w:sz w:val="22"/>
                <w:szCs w:val="22"/>
                <w:lang w:eastAsia="en-GB"/>
              </w:rPr>
            </w:pPr>
            <w:r w:rsidRPr="003F382E">
              <w:rPr>
                <w:rFonts w:cs="Arial"/>
                <w:sz w:val="22"/>
                <w:szCs w:val="22"/>
                <w:lang w:eastAsia="en-GB"/>
              </w:rPr>
              <w:t>Non-(general) conformity / consistency with Harrow development plan (</w:t>
            </w:r>
            <w:bookmarkStart w:id="32" w:name="_Int_ampzfeNi"/>
            <w:proofErr w:type="gramStart"/>
            <w:r w:rsidRPr="003F382E">
              <w:rPr>
                <w:rFonts w:cs="Arial"/>
                <w:sz w:val="22"/>
                <w:szCs w:val="22"/>
                <w:lang w:eastAsia="en-GB"/>
              </w:rPr>
              <w:t>i.e.</w:t>
            </w:r>
            <w:bookmarkEnd w:id="32"/>
            <w:proofErr w:type="gramEnd"/>
            <w:r w:rsidRPr="003F382E">
              <w:rPr>
                <w:rFonts w:cs="Arial"/>
                <w:sz w:val="22"/>
                <w:szCs w:val="22"/>
                <w:lang w:eastAsia="en-GB"/>
              </w:rPr>
              <w:t xml:space="preserve"> London Plan, Harrow Local Plan)</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CFFC308" w14:textId="77777777" w:rsidR="00E070EA" w:rsidRPr="003F382E" w:rsidRDefault="00E070EA" w:rsidP="00D72AAB">
            <w:pPr>
              <w:pStyle w:val="ListParagraph"/>
              <w:numPr>
                <w:ilvl w:val="0"/>
                <w:numId w:val="1"/>
              </w:numPr>
              <w:suppressAutoHyphens/>
              <w:autoSpaceDN w:val="0"/>
              <w:spacing w:line="247" w:lineRule="auto"/>
              <w:ind w:left="171" w:right="141" w:hanging="171"/>
              <w:jc w:val="both"/>
            </w:pPr>
            <w:r w:rsidRPr="003F382E">
              <w:t>Drafting to be undertaken in context of existing development plan.</w:t>
            </w:r>
          </w:p>
          <w:p w14:paraId="4E4BC7C4" w14:textId="77777777" w:rsidR="00167ACC" w:rsidRDefault="00E070EA" w:rsidP="00D72AAB">
            <w:pPr>
              <w:pStyle w:val="ListParagraph"/>
              <w:numPr>
                <w:ilvl w:val="0"/>
                <w:numId w:val="1"/>
              </w:numPr>
              <w:suppressAutoHyphens/>
              <w:autoSpaceDN w:val="0"/>
              <w:spacing w:line="247" w:lineRule="auto"/>
              <w:ind w:left="171" w:right="141" w:hanging="171"/>
              <w:jc w:val="both"/>
            </w:pPr>
            <w:r w:rsidRPr="003F382E">
              <w:t xml:space="preserve">Opportunities to expedite (‘twin-track’) the development of relevant policy as part of Local Plan review to be considered </w:t>
            </w:r>
            <w:bookmarkStart w:id="33" w:name="_Int_kUM3TUqT"/>
            <w:proofErr w:type="gramStart"/>
            <w:r w:rsidRPr="003F382E">
              <w:t>in an effort to</w:t>
            </w:r>
            <w:bookmarkEnd w:id="33"/>
            <w:proofErr w:type="gramEnd"/>
            <w:r w:rsidRPr="003F382E">
              <w:t xml:space="preserve"> reduce any potential conflict with future Local Plan policy.</w:t>
            </w:r>
          </w:p>
          <w:p w14:paraId="101EA2AC" w14:textId="0D25C59B" w:rsidR="00D63920" w:rsidRPr="003F382E" w:rsidRDefault="00D63920" w:rsidP="00D72AAB">
            <w:pPr>
              <w:pStyle w:val="ListParagraph"/>
              <w:numPr>
                <w:ilvl w:val="0"/>
                <w:numId w:val="1"/>
              </w:numPr>
              <w:suppressAutoHyphens/>
              <w:autoSpaceDN w:val="0"/>
              <w:spacing w:line="247" w:lineRule="auto"/>
              <w:ind w:left="171" w:right="141" w:hanging="171"/>
              <w:jc w:val="both"/>
            </w:pPr>
            <w:r>
              <w:lastRenderedPageBreak/>
              <w:t xml:space="preserve">Informal consultation has been undertaken with the </w:t>
            </w:r>
            <w:r w:rsidR="00827FB9">
              <w:t>Greater London Authority (GLA) to ensure compliance with the London Plan (2021)</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0253498D" w14:textId="11F334CB" w:rsidR="00167ACC" w:rsidRPr="003F382E" w:rsidRDefault="00710275" w:rsidP="000661CF">
            <w:pPr>
              <w:spacing w:line="247" w:lineRule="auto"/>
              <w:ind w:right="141"/>
              <w:jc w:val="center"/>
              <w:rPr>
                <w:rFonts w:cs="Arial"/>
                <w:szCs w:val="24"/>
                <w:lang w:eastAsia="en-GB"/>
              </w:rPr>
            </w:pPr>
            <w:r w:rsidRPr="003F382E">
              <w:rPr>
                <w:rFonts w:cs="Arial"/>
                <w:szCs w:val="24"/>
                <w:lang w:eastAsia="en-GB"/>
              </w:rPr>
              <w:lastRenderedPageBreak/>
              <w:t>Green</w:t>
            </w:r>
          </w:p>
        </w:tc>
      </w:tr>
      <w:tr w:rsidR="00FD36F8" w:rsidRPr="003F382E" w14:paraId="5CC2F275" w14:textId="77777777" w:rsidTr="798E702D">
        <w:tc>
          <w:tcPr>
            <w:tcW w:w="3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45FC245" w14:textId="040B433C" w:rsidR="00FD36F8" w:rsidRPr="003F382E" w:rsidRDefault="005A3691" w:rsidP="00D72AAB">
            <w:pPr>
              <w:spacing w:line="247" w:lineRule="auto"/>
              <w:ind w:right="141"/>
              <w:jc w:val="both"/>
              <w:rPr>
                <w:rFonts w:cs="Arial"/>
                <w:sz w:val="22"/>
                <w:szCs w:val="22"/>
                <w:lang w:eastAsia="en-GB"/>
              </w:rPr>
            </w:pPr>
            <w:r w:rsidRPr="003F382E">
              <w:rPr>
                <w:rFonts w:cs="Arial"/>
                <w:sz w:val="22"/>
                <w:szCs w:val="22"/>
                <w:lang w:eastAsia="en-GB"/>
              </w:rPr>
              <w:t xml:space="preserve">Broader Planning Policy / Urban Design work programs impacted upon should </w:t>
            </w:r>
            <w:bookmarkStart w:id="34" w:name="_Int_uYUvm5DC"/>
            <w:proofErr w:type="gramStart"/>
            <w:r w:rsidRPr="003F382E">
              <w:rPr>
                <w:rFonts w:cs="Arial"/>
                <w:sz w:val="22"/>
                <w:szCs w:val="22"/>
                <w:lang w:eastAsia="en-GB"/>
              </w:rPr>
              <w:t>additional</w:t>
            </w:r>
            <w:bookmarkEnd w:id="34"/>
            <w:proofErr w:type="gramEnd"/>
            <w:r w:rsidRPr="003F382E">
              <w:rPr>
                <w:rFonts w:cs="Arial"/>
                <w:sz w:val="22"/>
                <w:szCs w:val="22"/>
                <w:lang w:eastAsia="en-GB"/>
              </w:rPr>
              <w:t xml:space="preserve"> resources to undertake the work outlined in this report </w:t>
            </w:r>
            <w:r w:rsidR="7A47C583" w:rsidRPr="798E702D">
              <w:rPr>
                <w:rFonts w:cs="Arial"/>
                <w:sz w:val="22"/>
                <w:szCs w:val="22"/>
                <w:lang w:eastAsia="en-GB"/>
              </w:rPr>
              <w:t>is not</w:t>
            </w:r>
            <w:r w:rsidRPr="003F382E">
              <w:rPr>
                <w:rFonts w:cs="Arial"/>
                <w:sz w:val="22"/>
                <w:szCs w:val="22"/>
                <w:lang w:eastAsia="en-GB"/>
              </w:rPr>
              <w:t xml:space="preserve"> forthcoming</w:t>
            </w:r>
          </w:p>
        </w:tc>
        <w:tc>
          <w:tcPr>
            <w:tcW w:w="3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8AC9C39" w14:textId="15CFDE08" w:rsidR="00FD36F8" w:rsidRPr="003F382E" w:rsidRDefault="007E3F0B" w:rsidP="00D72AAB">
            <w:pPr>
              <w:pStyle w:val="ListParagraph"/>
              <w:numPr>
                <w:ilvl w:val="0"/>
                <w:numId w:val="1"/>
              </w:numPr>
              <w:suppressAutoHyphens/>
              <w:autoSpaceDN w:val="0"/>
              <w:spacing w:line="247" w:lineRule="auto"/>
              <w:ind w:left="171" w:right="141" w:hanging="171"/>
              <w:jc w:val="both"/>
            </w:pPr>
            <w:r>
              <w:t>Work programmes to be reprofiled to reflect available resources</w:t>
            </w:r>
            <w:r w:rsidR="00710275" w:rsidRPr="003F382E">
              <w:t>.</w:t>
            </w:r>
            <w:r w:rsidR="00FD7FA5">
              <w:t xml:space="preserve"> This does not fully mitigate the risk as </w:t>
            </w:r>
            <w:r w:rsidR="00495A26">
              <w:t>reputational damage may arise if other work (for example, that relating to planning applications) is delayed.</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00F1F14E" w14:textId="6346835C" w:rsidR="00FD36F8" w:rsidRPr="003F382E" w:rsidRDefault="00987C93" w:rsidP="000661CF">
            <w:pPr>
              <w:spacing w:line="247" w:lineRule="auto"/>
              <w:ind w:right="141"/>
              <w:jc w:val="center"/>
              <w:rPr>
                <w:rFonts w:cs="Arial"/>
                <w:szCs w:val="24"/>
                <w:lang w:eastAsia="en-GB"/>
              </w:rPr>
            </w:pPr>
            <w:r>
              <w:rPr>
                <w:rFonts w:cs="Arial"/>
                <w:szCs w:val="24"/>
                <w:lang w:eastAsia="en-GB"/>
              </w:rPr>
              <w:t>Green</w:t>
            </w:r>
          </w:p>
        </w:tc>
      </w:tr>
    </w:tbl>
    <w:p w14:paraId="1FFF7463" w14:textId="177A1322" w:rsidR="008D0B76" w:rsidRPr="003F382E" w:rsidRDefault="001774A3" w:rsidP="0023135A">
      <w:pPr>
        <w:pStyle w:val="Heading3"/>
        <w:keepNext/>
        <w:spacing w:before="240"/>
      </w:pPr>
      <w:r w:rsidRPr="003F382E">
        <w:t>1</w:t>
      </w:r>
      <w:r w:rsidR="006556AF">
        <w:t>4</w:t>
      </w:r>
      <w:r w:rsidRPr="003F382E">
        <w:t>.0</w:t>
      </w:r>
      <w:r w:rsidRPr="003F382E">
        <w:tab/>
      </w:r>
      <w:r w:rsidR="008D0B76" w:rsidRPr="003F382E">
        <w:t>Legal Implications</w:t>
      </w:r>
    </w:p>
    <w:p w14:paraId="2620D049" w14:textId="77777777" w:rsidR="008D0B76" w:rsidRPr="003F382E" w:rsidRDefault="008D0B76" w:rsidP="0023135A">
      <w:pPr>
        <w:keepNext/>
        <w:jc w:val="both"/>
      </w:pPr>
    </w:p>
    <w:p w14:paraId="20DCF2C7" w14:textId="5456F623" w:rsidR="005C336A" w:rsidRPr="003F382E" w:rsidRDefault="001774A3" w:rsidP="00D72AAB">
      <w:pPr>
        <w:ind w:left="720" w:hanging="720"/>
        <w:jc w:val="both"/>
        <w:rPr>
          <w:szCs w:val="24"/>
        </w:rPr>
      </w:pPr>
      <w:r w:rsidRPr="003F382E">
        <w:rPr>
          <w:szCs w:val="24"/>
        </w:rPr>
        <w:t>1</w:t>
      </w:r>
      <w:r w:rsidR="006556AF">
        <w:rPr>
          <w:szCs w:val="24"/>
        </w:rPr>
        <w:t>4</w:t>
      </w:r>
      <w:r w:rsidRPr="003F382E">
        <w:rPr>
          <w:szCs w:val="24"/>
        </w:rPr>
        <w:t>.1</w:t>
      </w:r>
      <w:r w:rsidRPr="003F382E">
        <w:rPr>
          <w:szCs w:val="24"/>
        </w:rPr>
        <w:tab/>
      </w:r>
      <w:r w:rsidR="005C336A" w:rsidRPr="003F382E">
        <w:rPr>
          <w:szCs w:val="24"/>
        </w:rPr>
        <w:t>Section 38(6) of the Planning and Compulsory Purchase Act (2004) states that, if regard is to be had to the development plan for the purpose of any determination to be made under the planning Acts, the determination must be made in accordance with the plan unless material considerations indicate otherwise.</w:t>
      </w:r>
    </w:p>
    <w:p w14:paraId="575A7949" w14:textId="77777777" w:rsidR="005C336A" w:rsidRPr="003F382E" w:rsidRDefault="005C336A" w:rsidP="00D72AAB">
      <w:pPr>
        <w:ind w:left="720" w:hanging="720"/>
        <w:jc w:val="both"/>
        <w:rPr>
          <w:szCs w:val="24"/>
        </w:rPr>
      </w:pPr>
    </w:p>
    <w:p w14:paraId="44EBB9D0" w14:textId="19E16C74" w:rsidR="005C336A" w:rsidRPr="003F382E" w:rsidRDefault="00FC6DBD" w:rsidP="00D72AAB">
      <w:pPr>
        <w:ind w:left="720" w:hanging="720"/>
        <w:jc w:val="both"/>
        <w:rPr>
          <w:szCs w:val="24"/>
        </w:rPr>
      </w:pPr>
      <w:r w:rsidRPr="003F382E">
        <w:rPr>
          <w:szCs w:val="24"/>
        </w:rPr>
        <w:t>1</w:t>
      </w:r>
      <w:r w:rsidR="006556AF">
        <w:rPr>
          <w:szCs w:val="24"/>
        </w:rPr>
        <w:t>4</w:t>
      </w:r>
      <w:r w:rsidRPr="003F382E">
        <w:rPr>
          <w:szCs w:val="24"/>
        </w:rPr>
        <w:t>.2</w:t>
      </w:r>
      <w:r w:rsidRPr="003F382E">
        <w:rPr>
          <w:szCs w:val="24"/>
        </w:rPr>
        <w:tab/>
      </w:r>
      <w:r w:rsidR="005C336A" w:rsidRPr="003F382E">
        <w:rPr>
          <w:szCs w:val="24"/>
        </w:rPr>
        <w:t>The Town and Country Planning (Local Planning) (England) Regulations 2012 provide guidance on the preparation and adoption of supplementary planning documents.</w:t>
      </w:r>
    </w:p>
    <w:p w14:paraId="224447AA" w14:textId="77777777" w:rsidR="005C336A" w:rsidRPr="003F382E" w:rsidRDefault="005C336A" w:rsidP="00D72AAB">
      <w:pPr>
        <w:ind w:left="720" w:hanging="720"/>
        <w:jc w:val="both"/>
        <w:rPr>
          <w:szCs w:val="24"/>
        </w:rPr>
      </w:pPr>
    </w:p>
    <w:p w14:paraId="307E1C33" w14:textId="41652F7D" w:rsidR="005C336A" w:rsidRPr="003F382E" w:rsidRDefault="00FC6DBD" w:rsidP="00D72AAB">
      <w:pPr>
        <w:ind w:left="720" w:hanging="720"/>
        <w:jc w:val="both"/>
      </w:pPr>
      <w:r>
        <w:t>1</w:t>
      </w:r>
      <w:r w:rsidR="006556AF">
        <w:t>4</w:t>
      </w:r>
      <w:r>
        <w:t>.3</w:t>
      </w:r>
      <w:r>
        <w:tab/>
      </w:r>
      <w:r w:rsidR="005C336A">
        <w:t xml:space="preserve">Although the proposed </w:t>
      </w:r>
      <w:r w:rsidR="00F6384F">
        <w:t xml:space="preserve">draft </w:t>
      </w:r>
      <w:r w:rsidR="005C336A">
        <w:t xml:space="preserve">SPD </w:t>
      </w:r>
      <w:r w:rsidR="008C51C8">
        <w:t>is</w:t>
      </w:r>
      <w:r w:rsidR="005C336A">
        <w:t xml:space="preserve"> not </w:t>
      </w:r>
      <w:r w:rsidR="00A7178B">
        <w:t xml:space="preserve">a </w:t>
      </w:r>
      <w:r w:rsidR="005C336A">
        <w:t xml:space="preserve">development plan document </w:t>
      </w:r>
      <w:r w:rsidR="00A7178B">
        <w:t>it</w:t>
      </w:r>
      <w:r w:rsidR="005C336A">
        <w:t xml:space="preserve"> will, on adoption, be a material consideration in the determination of tall building development proposals within </w:t>
      </w:r>
      <w:r w:rsidR="30FF45AD">
        <w:t xml:space="preserve">the London Borough of </w:t>
      </w:r>
      <w:r w:rsidR="005C336A">
        <w:t xml:space="preserve">Harrow. </w:t>
      </w:r>
    </w:p>
    <w:p w14:paraId="710CA964" w14:textId="77777777" w:rsidR="005C336A" w:rsidRPr="003F382E" w:rsidRDefault="005C336A" w:rsidP="00D72AAB">
      <w:pPr>
        <w:ind w:left="720" w:hanging="720"/>
        <w:jc w:val="both"/>
        <w:rPr>
          <w:szCs w:val="24"/>
        </w:rPr>
      </w:pPr>
    </w:p>
    <w:p w14:paraId="0DCB4B81" w14:textId="4442605E" w:rsidR="005C336A" w:rsidRDefault="00FC6DBD" w:rsidP="00D72AAB">
      <w:pPr>
        <w:ind w:left="720" w:hanging="720"/>
        <w:jc w:val="both"/>
      </w:pPr>
      <w:r>
        <w:t>1</w:t>
      </w:r>
      <w:r w:rsidR="006556AF">
        <w:t>4</w:t>
      </w:r>
      <w:r>
        <w:t>.4</w:t>
      </w:r>
      <w:r>
        <w:tab/>
      </w:r>
      <w:r w:rsidR="005C336A">
        <w:t xml:space="preserve">The Council is required by law to consult on the </w:t>
      </w:r>
      <w:r w:rsidR="623244C4">
        <w:t xml:space="preserve">draft </w:t>
      </w:r>
      <w:r w:rsidR="005C336A">
        <w:t xml:space="preserve">SPD and to </w:t>
      </w:r>
      <w:bookmarkStart w:id="35" w:name="_Int_DJWVbejF"/>
      <w:r w:rsidR="10216659">
        <w:t>consider</w:t>
      </w:r>
      <w:bookmarkEnd w:id="35"/>
      <w:r w:rsidR="005C336A">
        <w:t xml:space="preserve"> all consultation responses received before adopting the SPD. As soon as reasonably practicable after adopting an SPD, the Council must (</w:t>
      </w:r>
      <w:proofErr w:type="spellStart"/>
      <w:r w:rsidR="005C336A">
        <w:t>i</w:t>
      </w:r>
      <w:proofErr w:type="spellEnd"/>
      <w:r w:rsidR="005C336A">
        <w:t xml:space="preserve">) make available the SPD and an adoption statement and (ii) send a copy of the adoption statement to any person who asked to be notified of the adoption of the SPD. </w:t>
      </w:r>
    </w:p>
    <w:p w14:paraId="6D11D1AD" w14:textId="6AAA0A43" w:rsidR="42D6601E" w:rsidRDefault="42D6601E" w:rsidP="42D6601E">
      <w:pPr>
        <w:ind w:left="720" w:hanging="720"/>
        <w:jc w:val="both"/>
      </w:pPr>
    </w:p>
    <w:p w14:paraId="5187C1FC" w14:textId="5F6AAB1A" w:rsidR="00936A93" w:rsidRDefault="00936A93" w:rsidP="00D72AAB">
      <w:pPr>
        <w:ind w:left="720" w:hanging="720"/>
        <w:jc w:val="both"/>
      </w:pPr>
      <w:proofErr w:type="gramStart"/>
      <w:r>
        <w:t>1</w:t>
      </w:r>
      <w:r w:rsidR="006556AF">
        <w:t>4</w:t>
      </w:r>
      <w:r>
        <w:t xml:space="preserve">.5 </w:t>
      </w:r>
      <w:r w:rsidR="006556AF">
        <w:tab/>
      </w:r>
      <w:r>
        <w:t>By definition, supplementary</w:t>
      </w:r>
      <w:proofErr w:type="gramEnd"/>
      <w:r>
        <w:t xml:space="preserve"> planning documents cannot introduce new policies nor modify adopted polices and do not form a part of the development plan. Rather, their role is to supplement a ‘parent’ policy in a development plan document</w:t>
      </w:r>
      <w:r w:rsidR="00353613">
        <w:t xml:space="preserve">. </w:t>
      </w:r>
      <w:r w:rsidR="63FE868C">
        <w:t>T</w:t>
      </w:r>
      <w:r w:rsidR="00353613">
        <w:t xml:space="preserve">he SPD supplements </w:t>
      </w:r>
      <w:r w:rsidR="0804B621">
        <w:t xml:space="preserve">Policy DM1 </w:t>
      </w:r>
      <w:r w:rsidR="71FC82E9">
        <w:t xml:space="preserve">(Achieving a High Standard </w:t>
      </w:r>
      <w:r w:rsidR="0804B621">
        <w:t xml:space="preserve">of </w:t>
      </w:r>
      <w:r w:rsidR="04AC13F4">
        <w:t xml:space="preserve">Development of the Harrow Development </w:t>
      </w:r>
      <w:r w:rsidR="00597977">
        <w:t>Management</w:t>
      </w:r>
      <w:r w:rsidR="18288847">
        <w:t xml:space="preserve"> Policies Local Plan (2013).</w:t>
      </w:r>
    </w:p>
    <w:p w14:paraId="6DC0C67E" w14:textId="1CBAD219" w:rsidR="42D6601E" w:rsidRDefault="42D6601E" w:rsidP="42D6601E">
      <w:pPr>
        <w:ind w:left="720" w:hanging="720"/>
        <w:jc w:val="both"/>
      </w:pPr>
    </w:p>
    <w:p w14:paraId="79A96F1E" w14:textId="11B730D1" w:rsidR="005441BD" w:rsidRPr="003F382E" w:rsidRDefault="00FC6DBD" w:rsidP="42D6601E">
      <w:pPr>
        <w:pStyle w:val="Heading3"/>
        <w:keepNext/>
        <w:spacing w:before="240"/>
      </w:pPr>
      <w:r>
        <w:t>1</w:t>
      </w:r>
      <w:r w:rsidR="006556AF">
        <w:t>5</w:t>
      </w:r>
      <w:r>
        <w:t>.0</w:t>
      </w:r>
      <w:r>
        <w:tab/>
      </w:r>
      <w:r w:rsidR="005441BD">
        <w:t>Financial Implications</w:t>
      </w:r>
    </w:p>
    <w:p w14:paraId="7418BCF8" w14:textId="77777777" w:rsidR="008D0B76" w:rsidRPr="003F382E" w:rsidRDefault="008D0B76" w:rsidP="0023135A">
      <w:pPr>
        <w:keepNext/>
        <w:jc w:val="both"/>
      </w:pPr>
    </w:p>
    <w:p w14:paraId="1AC325FC" w14:textId="14780B96" w:rsidR="00A274AC" w:rsidRPr="003F382E" w:rsidRDefault="00FC6DBD" w:rsidP="00D72AAB">
      <w:pPr>
        <w:ind w:left="720" w:hanging="720"/>
        <w:jc w:val="both"/>
      </w:pPr>
      <w:r>
        <w:t>1</w:t>
      </w:r>
      <w:r w:rsidR="006556AF">
        <w:t>5</w:t>
      </w:r>
      <w:r>
        <w:t>.1</w:t>
      </w:r>
      <w:r>
        <w:tab/>
      </w:r>
      <w:r w:rsidR="00C50B55">
        <w:t xml:space="preserve">The cost of preparing and implementing the guidance on tall buildings will be met from Planning Policy Team </w:t>
      </w:r>
      <w:r w:rsidR="00224C56">
        <w:t xml:space="preserve">and Development Management (Urban </w:t>
      </w:r>
      <w:r w:rsidR="00224C56">
        <w:lastRenderedPageBreak/>
        <w:t xml:space="preserve">Design) </w:t>
      </w:r>
      <w:r w:rsidR="00C50B55">
        <w:t>resources.</w:t>
      </w:r>
      <w:r w:rsidR="00386F53">
        <w:t xml:space="preserve"> Any additional external costs (such as those </w:t>
      </w:r>
      <w:r w:rsidR="00096B7C">
        <w:t>identified</w:t>
      </w:r>
      <w:r w:rsidR="00386F53">
        <w:t xml:space="preserve"> in paragraph 7.2 above) would need to be met from within existing reve</w:t>
      </w:r>
      <w:r w:rsidR="0086089C">
        <w:t>nue budgets.</w:t>
      </w:r>
    </w:p>
    <w:p w14:paraId="2B175A09" w14:textId="227B8D4A" w:rsidR="000D5D8B" w:rsidRPr="00EE2084" w:rsidRDefault="00FC6DBD" w:rsidP="0023135A">
      <w:pPr>
        <w:pStyle w:val="Heading3"/>
        <w:keepNext/>
        <w:spacing w:before="240"/>
      </w:pPr>
      <w:r w:rsidRPr="00EE2084">
        <w:t>1</w:t>
      </w:r>
      <w:r w:rsidR="006556AF">
        <w:t>6</w:t>
      </w:r>
      <w:r w:rsidRPr="00EE2084">
        <w:t>.0</w:t>
      </w:r>
      <w:r w:rsidRPr="00EE2084">
        <w:tab/>
      </w:r>
      <w:r w:rsidR="000D5D8B" w:rsidRPr="00EE2084">
        <w:t>Equalities implications / Public Sector Equality Duty</w:t>
      </w:r>
    </w:p>
    <w:p w14:paraId="2E48AA85" w14:textId="79038483" w:rsidR="004B5B08" w:rsidRDefault="00FC6DBD" w:rsidP="00D72AAB">
      <w:pPr>
        <w:pStyle w:val="Heading3"/>
        <w:spacing w:before="240"/>
        <w:rPr>
          <w:b w:val="0"/>
          <w:bCs w:val="0"/>
          <w:sz w:val="24"/>
          <w:szCs w:val="24"/>
        </w:rPr>
      </w:pPr>
      <w:r w:rsidRPr="42D6601E">
        <w:rPr>
          <w:b w:val="0"/>
          <w:bCs w:val="0"/>
          <w:sz w:val="24"/>
          <w:szCs w:val="24"/>
        </w:rPr>
        <w:t>1</w:t>
      </w:r>
      <w:r w:rsidR="006556AF">
        <w:rPr>
          <w:b w:val="0"/>
          <w:bCs w:val="0"/>
          <w:sz w:val="24"/>
          <w:szCs w:val="24"/>
        </w:rPr>
        <w:t>6</w:t>
      </w:r>
      <w:r w:rsidRPr="42D6601E">
        <w:rPr>
          <w:b w:val="0"/>
          <w:bCs w:val="0"/>
          <w:sz w:val="24"/>
          <w:szCs w:val="24"/>
        </w:rPr>
        <w:t>.1</w:t>
      </w:r>
      <w:bookmarkStart w:id="36" w:name="_Int_CpMprG5Z"/>
      <w:r w:rsidR="004449F0">
        <w:tab/>
      </w:r>
      <w:bookmarkEnd w:id="36"/>
      <w:r w:rsidR="004D38FD" w:rsidRPr="42D6601E">
        <w:rPr>
          <w:b w:val="0"/>
          <w:bCs w:val="0"/>
          <w:sz w:val="24"/>
          <w:szCs w:val="24"/>
        </w:rPr>
        <w:t>The Equality Act 2010 outlines the provisions of the Public Sector Equalities Duty which requires Public Bodies to have due regard to the need to:</w:t>
      </w:r>
    </w:p>
    <w:p w14:paraId="253B1DB7" w14:textId="71C09AB5" w:rsidR="004B5B08" w:rsidRDefault="004D38FD" w:rsidP="42D6601E">
      <w:pPr>
        <w:pStyle w:val="Heading3"/>
        <w:spacing w:before="240"/>
        <w:ind w:firstLine="131"/>
        <w:rPr>
          <w:b w:val="0"/>
          <w:bCs w:val="0"/>
          <w:sz w:val="24"/>
          <w:szCs w:val="24"/>
        </w:rPr>
      </w:pPr>
      <w:r w:rsidRPr="42D6601E">
        <w:rPr>
          <w:b w:val="0"/>
          <w:bCs w:val="0"/>
          <w:sz w:val="24"/>
          <w:szCs w:val="24"/>
        </w:rPr>
        <w:t xml:space="preserve">a) Eliminate discrimination, harassment and victimisation and other contact prohibited by the Equality Act 2010. </w:t>
      </w:r>
    </w:p>
    <w:p w14:paraId="73594C55" w14:textId="77777777" w:rsidR="004B5B08" w:rsidRDefault="004D38FD" w:rsidP="42D6601E">
      <w:pPr>
        <w:pStyle w:val="Heading3"/>
        <w:spacing w:before="240"/>
        <w:ind w:firstLine="131"/>
        <w:rPr>
          <w:b w:val="0"/>
          <w:bCs w:val="0"/>
          <w:sz w:val="24"/>
          <w:szCs w:val="24"/>
        </w:rPr>
      </w:pPr>
      <w:r w:rsidRPr="42D6601E">
        <w:rPr>
          <w:b w:val="0"/>
          <w:bCs w:val="0"/>
          <w:sz w:val="24"/>
          <w:szCs w:val="24"/>
        </w:rPr>
        <w:t xml:space="preserve">b) Advance equality of opportunity between persons who share a relevant protected characteristic and persons who do not share it. </w:t>
      </w:r>
    </w:p>
    <w:p w14:paraId="768DF982" w14:textId="77777777" w:rsidR="004B5B08" w:rsidRDefault="004D38FD" w:rsidP="42D6601E">
      <w:pPr>
        <w:pStyle w:val="Heading3"/>
        <w:spacing w:before="240"/>
        <w:ind w:firstLine="131"/>
        <w:rPr>
          <w:b w:val="0"/>
          <w:bCs w:val="0"/>
          <w:sz w:val="24"/>
          <w:szCs w:val="24"/>
        </w:rPr>
      </w:pPr>
      <w:r w:rsidRPr="42D6601E">
        <w:rPr>
          <w:b w:val="0"/>
          <w:bCs w:val="0"/>
          <w:sz w:val="24"/>
          <w:szCs w:val="24"/>
        </w:rPr>
        <w:t xml:space="preserve">c) Foster good relations between persons who share a relevant protected characteristic and persons who do not share it. </w:t>
      </w:r>
    </w:p>
    <w:p w14:paraId="5ABBFCDB" w14:textId="04FBF470" w:rsidR="004B5B08" w:rsidRDefault="004D38FD" w:rsidP="001E52D5">
      <w:pPr>
        <w:pStyle w:val="Heading3"/>
        <w:spacing w:before="240"/>
        <w:ind w:hanging="11"/>
        <w:rPr>
          <w:b w:val="0"/>
          <w:bCs w:val="0"/>
          <w:sz w:val="24"/>
          <w:szCs w:val="24"/>
        </w:rPr>
      </w:pPr>
      <w:r w:rsidRPr="42D6601E">
        <w:rPr>
          <w:b w:val="0"/>
          <w:bCs w:val="0"/>
          <w:sz w:val="24"/>
          <w:szCs w:val="24"/>
        </w:rPr>
        <w:t xml:space="preserve">The broad purpose of this duty is to integrate considerations of equality into </w:t>
      </w:r>
      <w:proofErr w:type="gramStart"/>
      <w:r w:rsidRPr="42D6601E">
        <w:rPr>
          <w:b w:val="0"/>
          <w:bCs w:val="0"/>
          <w:sz w:val="24"/>
          <w:szCs w:val="24"/>
        </w:rPr>
        <w:t>day to day</w:t>
      </w:r>
      <w:proofErr w:type="gramEnd"/>
      <w:r w:rsidRPr="42D6601E">
        <w:rPr>
          <w:b w:val="0"/>
          <w:bCs w:val="0"/>
          <w:sz w:val="24"/>
          <w:szCs w:val="24"/>
        </w:rPr>
        <w:t xml:space="preserve"> business and keep them under review in decision making, the design policies and the delivery of services. </w:t>
      </w:r>
    </w:p>
    <w:p w14:paraId="5F420AD6" w14:textId="11721406" w:rsidR="005914D7" w:rsidRDefault="73D1CA76" w:rsidP="00D72AAB">
      <w:pPr>
        <w:pStyle w:val="Heading3"/>
        <w:spacing w:before="240"/>
        <w:rPr>
          <w:b w:val="0"/>
          <w:bCs w:val="0"/>
          <w:sz w:val="24"/>
          <w:szCs w:val="24"/>
        </w:rPr>
      </w:pPr>
      <w:r w:rsidRPr="42D6601E">
        <w:rPr>
          <w:b w:val="0"/>
          <w:bCs w:val="0"/>
          <w:sz w:val="24"/>
          <w:szCs w:val="24"/>
        </w:rPr>
        <w:t>1</w:t>
      </w:r>
      <w:r w:rsidR="006556AF">
        <w:rPr>
          <w:b w:val="0"/>
          <w:bCs w:val="0"/>
          <w:sz w:val="24"/>
          <w:szCs w:val="24"/>
        </w:rPr>
        <w:t>6</w:t>
      </w:r>
      <w:r w:rsidR="005914D7" w:rsidRPr="42D6601E">
        <w:rPr>
          <w:b w:val="0"/>
          <w:bCs w:val="0"/>
          <w:sz w:val="24"/>
          <w:szCs w:val="24"/>
        </w:rPr>
        <w:t>.2</w:t>
      </w:r>
      <w:r w:rsidR="006556AF">
        <w:rPr>
          <w:b w:val="0"/>
          <w:bCs w:val="0"/>
          <w:sz w:val="24"/>
          <w:szCs w:val="24"/>
        </w:rPr>
        <w:tab/>
      </w:r>
      <w:r w:rsidR="004D38FD" w:rsidRPr="42D6601E">
        <w:rPr>
          <w:b w:val="0"/>
          <w:bCs w:val="0"/>
          <w:sz w:val="24"/>
          <w:szCs w:val="24"/>
        </w:rPr>
        <w:t xml:space="preserve">The relevant protected characteristics are age, race, disability, gender reassignment, pregnancy and maternity, religion or belief, </w:t>
      </w:r>
      <w:proofErr w:type="gramStart"/>
      <w:r w:rsidR="004D38FD" w:rsidRPr="42D6601E">
        <w:rPr>
          <w:b w:val="0"/>
          <w:bCs w:val="0"/>
          <w:sz w:val="24"/>
          <w:szCs w:val="24"/>
        </w:rPr>
        <w:t>sex</w:t>
      </w:r>
      <w:proofErr w:type="gramEnd"/>
      <w:r w:rsidR="004D38FD" w:rsidRPr="42D6601E">
        <w:rPr>
          <w:b w:val="0"/>
          <w:bCs w:val="0"/>
          <w:sz w:val="24"/>
          <w:szCs w:val="24"/>
        </w:rPr>
        <w:t xml:space="preserve"> and sexual orientation. </w:t>
      </w:r>
    </w:p>
    <w:p w14:paraId="6893AB86" w14:textId="516E30BE" w:rsidR="004449F0" w:rsidRPr="004449F0" w:rsidRDefault="48CFA488" w:rsidP="00D72AAB">
      <w:pPr>
        <w:pStyle w:val="Heading3"/>
        <w:spacing w:before="240"/>
        <w:rPr>
          <w:b w:val="0"/>
          <w:bCs w:val="0"/>
          <w:sz w:val="24"/>
          <w:szCs w:val="24"/>
        </w:rPr>
      </w:pPr>
      <w:r w:rsidRPr="42D6601E">
        <w:rPr>
          <w:b w:val="0"/>
          <w:bCs w:val="0"/>
          <w:sz w:val="24"/>
          <w:szCs w:val="24"/>
        </w:rPr>
        <w:t>1</w:t>
      </w:r>
      <w:r w:rsidR="006556AF">
        <w:rPr>
          <w:b w:val="0"/>
          <w:bCs w:val="0"/>
          <w:sz w:val="24"/>
          <w:szCs w:val="24"/>
        </w:rPr>
        <w:t>6</w:t>
      </w:r>
      <w:r w:rsidR="005914D7" w:rsidRPr="42D6601E">
        <w:rPr>
          <w:b w:val="0"/>
          <w:bCs w:val="0"/>
          <w:sz w:val="24"/>
          <w:szCs w:val="24"/>
        </w:rPr>
        <w:t>.3</w:t>
      </w:r>
      <w:r w:rsidR="006556AF">
        <w:rPr>
          <w:b w:val="0"/>
          <w:bCs w:val="0"/>
          <w:sz w:val="24"/>
          <w:szCs w:val="24"/>
        </w:rPr>
        <w:tab/>
      </w:r>
      <w:r w:rsidR="004D38FD" w:rsidRPr="42D6601E">
        <w:rPr>
          <w:b w:val="0"/>
          <w:bCs w:val="0"/>
          <w:sz w:val="24"/>
          <w:szCs w:val="24"/>
        </w:rPr>
        <w:t>The</w:t>
      </w:r>
      <w:r w:rsidR="005914D7" w:rsidRPr="42D6601E">
        <w:rPr>
          <w:b w:val="0"/>
          <w:bCs w:val="0"/>
          <w:sz w:val="24"/>
          <w:szCs w:val="24"/>
        </w:rPr>
        <w:t xml:space="preserve"> SPD</w:t>
      </w:r>
      <w:r w:rsidR="004D38FD" w:rsidRPr="42D6601E">
        <w:rPr>
          <w:b w:val="0"/>
          <w:bCs w:val="0"/>
          <w:sz w:val="24"/>
          <w:szCs w:val="24"/>
        </w:rPr>
        <w:t xml:space="preserve"> aims, among others, for an inclusive and safe development </w:t>
      </w:r>
      <w:r w:rsidR="00DE6F56" w:rsidRPr="42D6601E">
        <w:rPr>
          <w:b w:val="0"/>
          <w:bCs w:val="0"/>
          <w:sz w:val="24"/>
          <w:szCs w:val="24"/>
        </w:rPr>
        <w:t xml:space="preserve">for </w:t>
      </w:r>
      <w:r w:rsidR="004D38FD" w:rsidRPr="42D6601E">
        <w:rPr>
          <w:b w:val="0"/>
          <w:bCs w:val="0"/>
          <w:sz w:val="24"/>
          <w:szCs w:val="24"/>
        </w:rPr>
        <w:t>all and therefore advances equality of opportunity for all and is not consid</w:t>
      </w:r>
      <w:r w:rsidR="006469A1" w:rsidRPr="42D6601E">
        <w:rPr>
          <w:b w:val="0"/>
          <w:bCs w:val="0"/>
          <w:sz w:val="24"/>
          <w:szCs w:val="24"/>
        </w:rPr>
        <w:t xml:space="preserve">ered to adversely impact on persons within the protected characteristic. </w:t>
      </w:r>
    </w:p>
    <w:p w14:paraId="7EE31300" w14:textId="73751014" w:rsidR="00A34224" w:rsidRDefault="54E541BC" w:rsidP="00D72AAB">
      <w:pPr>
        <w:pStyle w:val="Heading3"/>
        <w:spacing w:before="240"/>
        <w:rPr>
          <w:b w:val="0"/>
          <w:bCs w:val="0"/>
          <w:sz w:val="24"/>
          <w:szCs w:val="24"/>
        </w:rPr>
      </w:pPr>
      <w:r w:rsidRPr="7DD02BE3">
        <w:rPr>
          <w:b w:val="0"/>
          <w:bCs w:val="0"/>
          <w:sz w:val="24"/>
          <w:szCs w:val="24"/>
        </w:rPr>
        <w:t>1</w:t>
      </w:r>
      <w:r w:rsidR="006556AF" w:rsidRPr="7DD02BE3">
        <w:rPr>
          <w:b w:val="0"/>
          <w:bCs w:val="0"/>
          <w:sz w:val="24"/>
          <w:szCs w:val="24"/>
        </w:rPr>
        <w:t>6</w:t>
      </w:r>
      <w:r w:rsidR="006469A1" w:rsidRPr="7DD02BE3">
        <w:rPr>
          <w:b w:val="0"/>
          <w:bCs w:val="0"/>
          <w:sz w:val="24"/>
          <w:szCs w:val="24"/>
        </w:rPr>
        <w:t>.4</w:t>
      </w:r>
      <w:r>
        <w:tab/>
      </w:r>
      <w:r w:rsidR="006469A1" w:rsidRPr="7DD02BE3">
        <w:rPr>
          <w:b w:val="0"/>
          <w:bCs w:val="0"/>
          <w:sz w:val="24"/>
          <w:szCs w:val="24"/>
        </w:rPr>
        <w:t>In addition, t</w:t>
      </w:r>
      <w:r w:rsidR="00776C1A" w:rsidRPr="7DD02BE3">
        <w:rPr>
          <w:b w:val="0"/>
          <w:bCs w:val="0"/>
          <w:sz w:val="24"/>
          <w:szCs w:val="24"/>
        </w:rPr>
        <w:t xml:space="preserve">he proposed SPD the subject of this report will </w:t>
      </w:r>
      <w:r w:rsidR="1B07DA47" w:rsidRPr="7DD02BE3">
        <w:rPr>
          <w:b w:val="0"/>
          <w:bCs w:val="0"/>
          <w:sz w:val="24"/>
          <w:szCs w:val="24"/>
        </w:rPr>
        <w:t xml:space="preserve">provide guidance and </w:t>
      </w:r>
      <w:r w:rsidR="00776C1A" w:rsidRPr="7DD02BE3">
        <w:rPr>
          <w:b w:val="0"/>
          <w:bCs w:val="0"/>
          <w:sz w:val="24"/>
          <w:szCs w:val="24"/>
        </w:rPr>
        <w:t xml:space="preserve">supplement adopted policies within the Harrow Core Strategy and Development Management Policies </w:t>
      </w:r>
      <w:r w:rsidR="5CFC90EC" w:rsidRPr="7DD02BE3">
        <w:rPr>
          <w:b w:val="0"/>
          <w:bCs w:val="0"/>
          <w:sz w:val="24"/>
          <w:szCs w:val="24"/>
        </w:rPr>
        <w:t xml:space="preserve">in the </w:t>
      </w:r>
      <w:r w:rsidR="00776C1A" w:rsidRPr="7DD02BE3">
        <w:rPr>
          <w:b w:val="0"/>
          <w:bCs w:val="0"/>
          <w:sz w:val="24"/>
          <w:szCs w:val="24"/>
        </w:rPr>
        <w:t>Local Plan. A full equalities impact assessment was carried out at each formal stage in the preparation of the Core Strategy</w:t>
      </w:r>
      <w:r w:rsidR="00855846">
        <w:rPr>
          <w:b w:val="0"/>
          <w:bCs w:val="0"/>
          <w:sz w:val="24"/>
          <w:szCs w:val="24"/>
        </w:rPr>
        <w:t xml:space="preserve"> and Development Management Policies Local </w:t>
      </w:r>
      <w:proofErr w:type="gramStart"/>
      <w:r w:rsidR="00855846">
        <w:rPr>
          <w:b w:val="0"/>
          <w:bCs w:val="0"/>
          <w:sz w:val="24"/>
          <w:szCs w:val="24"/>
        </w:rPr>
        <w:t>Plan.</w:t>
      </w:r>
      <w:r w:rsidR="00776C1A" w:rsidRPr="7DD02BE3">
        <w:rPr>
          <w:b w:val="0"/>
          <w:bCs w:val="0"/>
          <w:sz w:val="24"/>
          <w:szCs w:val="24"/>
        </w:rPr>
        <w:t>.</w:t>
      </w:r>
      <w:proofErr w:type="gramEnd"/>
      <w:r w:rsidR="00776C1A" w:rsidRPr="7DD02BE3">
        <w:rPr>
          <w:b w:val="0"/>
          <w:bCs w:val="0"/>
          <w:sz w:val="24"/>
          <w:szCs w:val="24"/>
        </w:rPr>
        <w:t xml:space="preserve"> </w:t>
      </w:r>
    </w:p>
    <w:p w14:paraId="24A8ED5A" w14:textId="69A81C51" w:rsidR="00432050" w:rsidRDefault="00263F78" w:rsidP="0023135A">
      <w:pPr>
        <w:pStyle w:val="Heading3"/>
        <w:keepNext/>
        <w:spacing w:before="240"/>
        <w:ind w:left="0" w:firstLine="0"/>
      </w:pPr>
      <w:r>
        <w:t>1</w:t>
      </w:r>
      <w:r w:rsidR="006556AF">
        <w:t>7</w:t>
      </w:r>
      <w:r w:rsidR="004C3182">
        <w:t>.0</w:t>
      </w:r>
      <w:r>
        <w:tab/>
      </w:r>
      <w:r w:rsidR="00D33AE8">
        <w:t xml:space="preserve">Council </w:t>
      </w:r>
      <w:r w:rsidR="00432050">
        <w:t>Priorities</w:t>
      </w:r>
    </w:p>
    <w:p w14:paraId="7FA657DA" w14:textId="77777777" w:rsidR="00432050" w:rsidRPr="00661A6F" w:rsidRDefault="00432050" w:rsidP="0023135A">
      <w:pPr>
        <w:keepNext/>
        <w:ind w:right="144"/>
        <w:jc w:val="both"/>
        <w:rPr>
          <w:rFonts w:cs="Arial"/>
          <w:szCs w:val="24"/>
        </w:rPr>
      </w:pPr>
    </w:p>
    <w:p w14:paraId="2F51C5D9" w14:textId="221A5C92" w:rsidR="00325215" w:rsidRPr="00661A6F" w:rsidRDefault="00263F78" w:rsidP="00D72AAB">
      <w:pPr>
        <w:autoSpaceDE w:val="0"/>
        <w:autoSpaceDN w:val="0"/>
        <w:contextualSpacing/>
        <w:jc w:val="both"/>
        <w:rPr>
          <w:rFonts w:ascii="Arial Bold" w:hAnsi="Arial Bold"/>
          <w:b/>
        </w:rPr>
      </w:pPr>
      <w:r w:rsidRPr="00661A6F">
        <w:rPr>
          <w:rFonts w:ascii="Arial Bold" w:hAnsi="Arial Bold"/>
          <w:b/>
        </w:rPr>
        <w:t>1</w:t>
      </w:r>
      <w:r w:rsidR="006556AF">
        <w:rPr>
          <w:rFonts w:ascii="Arial Bold" w:hAnsi="Arial Bold"/>
          <w:b/>
        </w:rPr>
        <w:t>7</w:t>
      </w:r>
      <w:r w:rsidR="007A0281" w:rsidRPr="00661A6F">
        <w:rPr>
          <w:rFonts w:ascii="Arial Bold" w:hAnsi="Arial Bold"/>
          <w:b/>
        </w:rPr>
        <w:t>.1</w:t>
      </w:r>
      <w:r w:rsidR="007A0281" w:rsidRPr="00661A6F">
        <w:rPr>
          <w:rFonts w:ascii="Arial Bold" w:hAnsi="Arial Bold"/>
          <w:b/>
        </w:rPr>
        <w:tab/>
      </w:r>
      <w:r w:rsidR="00E95DFE" w:rsidRPr="00661A6F">
        <w:rPr>
          <w:rFonts w:ascii="Arial Bold" w:hAnsi="Arial Bold"/>
          <w:b/>
        </w:rPr>
        <w:t>Putting residents first.</w:t>
      </w:r>
    </w:p>
    <w:p w14:paraId="48472544" w14:textId="15A16C4C" w:rsidR="009A1723" w:rsidRPr="003F382E" w:rsidRDefault="009A1723" w:rsidP="00D72AAB">
      <w:pPr>
        <w:autoSpaceDE w:val="0"/>
        <w:autoSpaceDN w:val="0"/>
        <w:contextualSpacing/>
        <w:jc w:val="both"/>
        <w:rPr>
          <w:rFonts w:ascii="Arial Bold" w:hAnsi="Arial Bold"/>
          <w:b/>
        </w:rPr>
      </w:pPr>
    </w:p>
    <w:p w14:paraId="26152B58" w14:textId="7BC4BCE9" w:rsidR="0074137A" w:rsidRPr="003F382E" w:rsidRDefault="68E528F9" w:rsidP="11CE1E5C">
      <w:pPr>
        <w:autoSpaceDE w:val="0"/>
        <w:autoSpaceDN w:val="0"/>
        <w:ind w:left="720" w:hanging="720"/>
        <w:contextualSpacing/>
        <w:jc w:val="both"/>
        <w:rPr>
          <w:rFonts w:cs="Arial"/>
        </w:rPr>
      </w:pPr>
      <w:r w:rsidRPr="42D6601E">
        <w:rPr>
          <w:rFonts w:cs="Arial"/>
        </w:rPr>
        <w:t>1</w:t>
      </w:r>
      <w:r w:rsidR="006556AF">
        <w:rPr>
          <w:rFonts w:cs="Arial"/>
        </w:rPr>
        <w:t>7</w:t>
      </w:r>
      <w:r w:rsidR="7DCFE614" w:rsidRPr="42D6601E">
        <w:rPr>
          <w:rFonts w:cs="Arial"/>
        </w:rPr>
        <w:t>.2</w:t>
      </w:r>
      <w:r>
        <w:tab/>
      </w:r>
      <w:r w:rsidR="2563143D" w:rsidRPr="42D6601E">
        <w:rPr>
          <w:rFonts w:cs="Arial"/>
        </w:rPr>
        <w:t>T</w:t>
      </w:r>
      <w:r w:rsidR="5DFEE697" w:rsidRPr="42D6601E">
        <w:rPr>
          <w:rFonts w:cs="Arial"/>
        </w:rPr>
        <w:t xml:space="preserve">he </w:t>
      </w:r>
      <w:r w:rsidR="0315D9D6" w:rsidRPr="42D6601E">
        <w:rPr>
          <w:rFonts w:cs="Arial"/>
        </w:rPr>
        <w:t xml:space="preserve">progression of a </w:t>
      </w:r>
      <w:r w:rsidR="7466398E" w:rsidRPr="387BD65A">
        <w:rPr>
          <w:rFonts w:cs="Arial"/>
          <w:szCs w:val="24"/>
        </w:rPr>
        <w:t>Tall Buildings (‘</w:t>
      </w:r>
      <w:r w:rsidR="0D410A8B" w:rsidRPr="387BD65A">
        <w:rPr>
          <w:rFonts w:cs="Arial"/>
          <w:szCs w:val="24"/>
        </w:rPr>
        <w:t>Building</w:t>
      </w:r>
      <w:r w:rsidR="0315D9D6" w:rsidRPr="387BD65A">
        <w:rPr>
          <w:rFonts w:cs="Arial"/>
          <w:szCs w:val="24"/>
        </w:rPr>
        <w:t xml:space="preserve"> </w:t>
      </w:r>
      <w:r w:rsidR="7466398E" w:rsidRPr="387BD65A">
        <w:rPr>
          <w:rFonts w:cs="Arial"/>
          <w:szCs w:val="24"/>
        </w:rPr>
        <w:t>Heights’</w:t>
      </w:r>
      <w:r w:rsidR="7466398E" w:rsidRPr="63321FC8">
        <w:rPr>
          <w:rFonts w:cs="Arial"/>
          <w:szCs w:val="24"/>
        </w:rPr>
        <w:t>)</w:t>
      </w:r>
      <w:r w:rsidR="18F65B7E" w:rsidRPr="42D6601E">
        <w:rPr>
          <w:rFonts w:cs="Arial"/>
        </w:rPr>
        <w:t xml:space="preserve"> </w:t>
      </w:r>
      <w:r w:rsidR="0315D9D6" w:rsidRPr="42D6601E">
        <w:rPr>
          <w:rFonts w:cs="Arial"/>
        </w:rPr>
        <w:t xml:space="preserve">Supplementary Planning Document was a manifesto </w:t>
      </w:r>
      <w:r w:rsidR="0688BFE8" w:rsidRPr="42D6601E">
        <w:rPr>
          <w:rFonts w:cs="Arial"/>
        </w:rPr>
        <w:t>commitment by</w:t>
      </w:r>
      <w:r w:rsidR="2563143D" w:rsidRPr="42D6601E">
        <w:rPr>
          <w:rFonts w:cs="Arial"/>
        </w:rPr>
        <w:t xml:space="preserve"> the </w:t>
      </w:r>
      <w:r w:rsidR="0688BFE8" w:rsidRPr="42D6601E">
        <w:rPr>
          <w:rFonts w:cs="Arial"/>
        </w:rPr>
        <w:t xml:space="preserve">new </w:t>
      </w:r>
      <w:r w:rsidR="0E45AF95" w:rsidRPr="42D6601E">
        <w:rPr>
          <w:rFonts w:cs="Arial"/>
        </w:rPr>
        <w:t xml:space="preserve">administration. </w:t>
      </w:r>
      <w:r w:rsidR="3E7242BE" w:rsidRPr="42D6601E">
        <w:rPr>
          <w:rFonts w:cs="Arial"/>
        </w:rPr>
        <w:t xml:space="preserve">This report </w:t>
      </w:r>
      <w:r w:rsidR="6B71D6B2" w:rsidRPr="42D6601E">
        <w:rPr>
          <w:rFonts w:cs="Arial"/>
        </w:rPr>
        <w:t xml:space="preserve">sets out the drafting of a </w:t>
      </w:r>
      <w:r w:rsidR="1E6FDA6C" w:rsidRPr="67816489">
        <w:rPr>
          <w:rFonts w:cs="Arial"/>
          <w:szCs w:val="24"/>
        </w:rPr>
        <w:t>Tall Buildings (‘</w:t>
      </w:r>
      <w:r w:rsidR="6B71D6B2" w:rsidRPr="67816489">
        <w:rPr>
          <w:rFonts w:cs="Arial"/>
          <w:szCs w:val="24"/>
        </w:rPr>
        <w:t xml:space="preserve">Building </w:t>
      </w:r>
      <w:r w:rsidR="1E6FDA6C" w:rsidRPr="67816489">
        <w:rPr>
          <w:rFonts w:cs="Arial"/>
          <w:szCs w:val="24"/>
        </w:rPr>
        <w:t>Heights’</w:t>
      </w:r>
      <w:r w:rsidR="14C54D0C" w:rsidRPr="67816489">
        <w:rPr>
          <w:rFonts w:cs="Arial"/>
          <w:szCs w:val="24"/>
        </w:rPr>
        <w:t>)</w:t>
      </w:r>
      <w:r w:rsidR="6B71D6B2" w:rsidRPr="42D6601E">
        <w:rPr>
          <w:rFonts w:cs="Arial"/>
        </w:rPr>
        <w:t xml:space="preserve"> </w:t>
      </w:r>
      <w:r w:rsidR="69157DA2" w:rsidRPr="42D6601E">
        <w:rPr>
          <w:rFonts w:cs="Arial"/>
        </w:rPr>
        <w:t>SPD</w:t>
      </w:r>
      <w:r w:rsidR="536145E6" w:rsidRPr="42D6601E">
        <w:rPr>
          <w:rFonts w:cs="Arial"/>
        </w:rPr>
        <w:t xml:space="preserve">, which would reflect the </w:t>
      </w:r>
      <w:r w:rsidR="7878CADF" w:rsidRPr="42D6601E">
        <w:rPr>
          <w:rFonts w:cs="Arial"/>
        </w:rPr>
        <w:t>priorities of the Council to put residents first</w:t>
      </w:r>
      <w:r w:rsidR="13001E86" w:rsidRPr="42D6601E">
        <w:rPr>
          <w:rFonts w:cs="Arial"/>
        </w:rPr>
        <w:t xml:space="preserve">. </w:t>
      </w:r>
      <w:r w:rsidR="71E5DB2D" w:rsidRPr="42D6601E">
        <w:rPr>
          <w:rFonts w:cs="Arial"/>
        </w:rPr>
        <w:t>Notwithstanding the change to the title of the document, i</w:t>
      </w:r>
      <w:r w:rsidR="0688BFE8" w:rsidRPr="42D6601E">
        <w:rPr>
          <w:rFonts w:cs="Arial"/>
        </w:rPr>
        <w:t>t reflects the commitment made by Cabinet at its May 2022 meeting.</w:t>
      </w:r>
    </w:p>
    <w:p w14:paraId="6F1FDA3D" w14:textId="77777777" w:rsidR="005441BD" w:rsidRPr="003F382E" w:rsidRDefault="005441BD" w:rsidP="001A7BFA">
      <w:pPr>
        <w:pStyle w:val="Heading2"/>
        <w:keepNext/>
        <w:spacing w:before="480"/>
        <w:jc w:val="both"/>
      </w:pPr>
      <w:r w:rsidRPr="003F382E">
        <w:lastRenderedPageBreak/>
        <w:t>Section 3 - Statutory Officer Clearance</w:t>
      </w:r>
    </w:p>
    <w:p w14:paraId="70CF4DE5" w14:textId="77777777" w:rsidR="009C7E03" w:rsidRDefault="009C7E03" w:rsidP="001A7BFA">
      <w:pPr>
        <w:keepNext/>
        <w:jc w:val="both"/>
        <w:rPr>
          <w:b/>
          <w:sz w:val="28"/>
        </w:rPr>
      </w:pPr>
    </w:p>
    <w:p w14:paraId="63D2E473" w14:textId="232146D2" w:rsidR="006040F6" w:rsidRPr="00065FBC" w:rsidRDefault="006040F6" w:rsidP="001A7BFA">
      <w:pPr>
        <w:keepNext/>
        <w:rPr>
          <w:bCs/>
          <w:sz w:val="28"/>
        </w:rPr>
      </w:pPr>
      <w:r w:rsidRPr="00A66326">
        <w:rPr>
          <w:b/>
          <w:sz w:val="28"/>
        </w:rPr>
        <w:t xml:space="preserve">Statutory Officer:  </w:t>
      </w:r>
      <w:r w:rsidR="00065FBC">
        <w:rPr>
          <w:bCs/>
          <w:sz w:val="28"/>
        </w:rPr>
        <w:t>Jessie Man</w:t>
      </w:r>
    </w:p>
    <w:p w14:paraId="2C930EDB" w14:textId="6BCFE824" w:rsidR="006040F6" w:rsidRPr="00A66326" w:rsidRDefault="006040F6" w:rsidP="006040F6">
      <w:r w:rsidRPr="00A66326">
        <w:t>Signed on behalf of</w:t>
      </w:r>
      <w:r w:rsidR="00F96F76">
        <w:t xml:space="preserve"> </w:t>
      </w:r>
      <w:r w:rsidRPr="00A66326">
        <w:t>the Chief Financial Officer</w:t>
      </w:r>
    </w:p>
    <w:p w14:paraId="453D3397" w14:textId="77777777" w:rsidR="006040F6" w:rsidRPr="00A66326" w:rsidRDefault="006040F6" w:rsidP="006040F6">
      <w:pPr>
        <w:rPr>
          <w:sz w:val="28"/>
        </w:rPr>
      </w:pPr>
    </w:p>
    <w:p w14:paraId="57F0F076" w14:textId="6F9C7578" w:rsidR="006040F6" w:rsidRPr="00065FBC" w:rsidRDefault="006040F6" w:rsidP="006040F6">
      <w:pPr>
        <w:spacing w:after="480"/>
        <w:rPr>
          <w:bCs/>
          <w:sz w:val="28"/>
        </w:rPr>
      </w:pPr>
      <w:r w:rsidRPr="00A66326">
        <w:rPr>
          <w:b/>
          <w:sz w:val="28"/>
        </w:rPr>
        <w:t xml:space="preserve">Date:  </w:t>
      </w:r>
      <w:r w:rsidR="00065FBC">
        <w:rPr>
          <w:bCs/>
          <w:sz w:val="28"/>
        </w:rPr>
        <w:t>22 December 2022 – by email</w:t>
      </w:r>
    </w:p>
    <w:p w14:paraId="5145B915" w14:textId="28EEE2A9" w:rsidR="006040F6" w:rsidRPr="00A66326" w:rsidRDefault="006040F6" w:rsidP="006040F6">
      <w:pPr>
        <w:rPr>
          <w:sz w:val="28"/>
        </w:rPr>
      </w:pPr>
      <w:r w:rsidRPr="00A66326">
        <w:rPr>
          <w:b/>
          <w:sz w:val="28"/>
        </w:rPr>
        <w:t xml:space="preserve">Statutory Officer:  </w:t>
      </w:r>
      <w:r w:rsidR="00302807" w:rsidRPr="00302807">
        <w:rPr>
          <w:bCs/>
          <w:sz w:val="28"/>
        </w:rPr>
        <w:t>Mrinalini Rajaratnam</w:t>
      </w:r>
    </w:p>
    <w:p w14:paraId="7ADA28C7" w14:textId="059DBAF1" w:rsidR="006040F6" w:rsidRPr="00A66326" w:rsidRDefault="006040F6" w:rsidP="006040F6">
      <w:r w:rsidRPr="00A66326">
        <w:t>Signed on behalf of</w:t>
      </w:r>
      <w:r w:rsidR="00302807">
        <w:t xml:space="preserve"> t</w:t>
      </w:r>
      <w:r w:rsidRPr="00A66326">
        <w:t>he Monitoring Officer</w:t>
      </w:r>
    </w:p>
    <w:p w14:paraId="2E83D04D" w14:textId="77777777" w:rsidR="006040F6" w:rsidRPr="00A66326" w:rsidRDefault="006040F6" w:rsidP="006040F6">
      <w:pPr>
        <w:rPr>
          <w:sz w:val="28"/>
        </w:rPr>
      </w:pPr>
    </w:p>
    <w:p w14:paraId="11DAE20F" w14:textId="661CA778" w:rsidR="006040F6" w:rsidRPr="003313EA" w:rsidRDefault="006040F6" w:rsidP="006040F6">
      <w:pPr>
        <w:spacing w:after="480"/>
        <w:rPr>
          <w:sz w:val="28"/>
        </w:rPr>
      </w:pPr>
      <w:r w:rsidRPr="00A66326">
        <w:rPr>
          <w:b/>
          <w:sz w:val="28"/>
        </w:rPr>
        <w:t xml:space="preserve">Date:  </w:t>
      </w:r>
      <w:r w:rsidR="00302807">
        <w:rPr>
          <w:bCs/>
          <w:sz w:val="28"/>
        </w:rPr>
        <w:t>22 December 2022 – by email</w:t>
      </w:r>
    </w:p>
    <w:p w14:paraId="151F02E3" w14:textId="24225317" w:rsidR="006040F6" w:rsidRPr="00B54989" w:rsidRDefault="006040F6" w:rsidP="006040F6">
      <w:pPr>
        <w:rPr>
          <w:bCs/>
          <w:sz w:val="28"/>
        </w:rPr>
      </w:pPr>
      <w:r>
        <w:rPr>
          <w:b/>
          <w:sz w:val="28"/>
        </w:rPr>
        <w:t>Chief</w:t>
      </w:r>
      <w:r w:rsidRPr="00A66326">
        <w:rPr>
          <w:b/>
          <w:sz w:val="28"/>
        </w:rPr>
        <w:t xml:space="preserve"> Officer:  </w:t>
      </w:r>
      <w:r w:rsidR="00B54989">
        <w:rPr>
          <w:bCs/>
          <w:sz w:val="28"/>
        </w:rPr>
        <w:t>Viv Evans</w:t>
      </w:r>
    </w:p>
    <w:p w14:paraId="61BE8319" w14:textId="77777777" w:rsidR="006040F6" w:rsidRPr="00A66326" w:rsidRDefault="006040F6" w:rsidP="006040F6">
      <w:r>
        <w:t>Signed off by the Chief Planning Officer</w:t>
      </w:r>
    </w:p>
    <w:p w14:paraId="64B83E9B" w14:textId="142265AD" w:rsidR="006040F6" w:rsidRPr="002548D1" w:rsidRDefault="786B4E2C" w:rsidP="0ED4B2CF">
      <w:pPr>
        <w:ind w:left="360" w:hanging="360"/>
        <w:jc w:val="both"/>
      </w:pPr>
      <w:r>
        <w:rPr>
          <w:noProof/>
        </w:rPr>
        <w:drawing>
          <wp:inline distT="0" distB="0" distL="0" distR="0" wp14:anchorId="1A9E582D" wp14:editId="60E76016">
            <wp:extent cx="2790825" cy="1057275"/>
            <wp:effectExtent l="0" t="0" r="0" b="0"/>
            <wp:docPr id="1052228103" name="Picture 1052228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2790825" cy="1057275"/>
                    </a:xfrm>
                    <a:prstGeom prst="rect">
                      <a:avLst/>
                    </a:prstGeom>
                  </pic:spPr>
                </pic:pic>
              </a:graphicData>
            </a:graphic>
          </wp:inline>
        </w:drawing>
      </w:r>
    </w:p>
    <w:p w14:paraId="0B46A910" w14:textId="77777777" w:rsidR="006040F6" w:rsidRPr="00A66326" w:rsidRDefault="006040F6" w:rsidP="006040F6">
      <w:pPr>
        <w:rPr>
          <w:sz w:val="28"/>
        </w:rPr>
      </w:pPr>
    </w:p>
    <w:p w14:paraId="30D07BBE" w14:textId="1BE885F7" w:rsidR="006040F6" w:rsidRPr="00935A6F" w:rsidRDefault="006040F6" w:rsidP="006040F6">
      <w:pPr>
        <w:spacing w:after="480"/>
        <w:rPr>
          <w:bCs/>
          <w:sz w:val="28"/>
        </w:rPr>
      </w:pPr>
      <w:r w:rsidRPr="00A66326">
        <w:rPr>
          <w:b/>
          <w:sz w:val="28"/>
        </w:rPr>
        <w:t xml:space="preserve">Date:  </w:t>
      </w:r>
      <w:r w:rsidR="00935A6F">
        <w:rPr>
          <w:bCs/>
          <w:sz w:val="28"/>
        </w:rPr>
        <w:t>21 December 2022</w:t>
      </w:r>
    </w:p>
    <w:p w14:paraId="66F40407" w14:textId="77777777" w:rsidR="00D27D5B" w:rsidRPr="003F382E" w:rsidRDefault="00D27D5B" w:rsidP="00D72AAB">
      <w:pPr>
        <w:pStyle w:val="Heading2"/>
        <w:spacing w:after="240"/>
        <w:jc w:val="both"/>
      </w:pPr>
      <w:r w:rsidRPr="003F382E">
        <w:t>Mandatory Checks</w:t>
      </w:r>
    </w:p>
    <w:p w14:paraId="7D605383" w14:textId="525AC498" w:rsidR="00D27D5B" w:rsidRPr="00812C50" w:rsidRDefault="00D27D5B" w:rsidP="00D72AAB">
      <w:pPr>
        <w:pStyle w:val="Heading3"/>
        <w:ind w:left="0" w:firstLine="0"/>
        <w:rPr>
          <w:b w:val="0"/>
          <w:bCs w:val="0"/>
          <w:sz w:val="24"/>
          <w:szCs w:val="24"/>
        </w:rPr>
      </w:pPr>
      <w:r w:rsidRPr="00812C50">
        <w:rPr>
          <w:b w:val="0"/>
          <w:bCs w:val="0"/>
          <w:sz w:val="24"/>
          <w:szCs w:val="24"/>
        </w:rPr>
        <w:t>Ward Councillors notified:   N</w:t>
      </w:r>
      <w:r w:rsidR="007B0F8E" w:rsidRPr="00812C50">
        <w:rPr>
          <w:b w:val="0"/>
          <w:bCs w:val="0"/>
          <w:sz w:val="24"/>
          <w:szCs w:val="24"/>
        </w:rPr>
        <w:t>o</w:t>
      </w:r>
      <w:r w:rsidR="009C7E03" w:rsidRPr="00812C50">
        <w:rPr>
          <w:b w:val="0"/>
          <w:bCs w:val="0"/>
          <w:sz w:val="24"/>
          <w:szCs w:val="24"/>
        </w:rPr>
        <w:t>,</w:t>
      </w:r>
      <w:r w:rsidRPr="00812C50">
        <w:rPr>
          <w:b w:val="0"/>
          <w:bCs w:val="0"/>
          <w:sz w:val="24"/>
          <w:szCs w:val="24"/>
        </w:rPr>
        <w:t xml:space="preserve"> as it impacts on all Wards</w:t>
      </w:r>
      <w:r w:rsidR="00EE2084">
        <w:rPr>
          <w:b w:val="0"/>
          <w:bCs w:val="0"/>
          <w:sz w:val="24"/>
          <w:szCs w:val="24"/>
        </w:rPr>
        <w:t>. Cabinet consideration will be a Key Decision.</w:t>
      </w:r>
    </w:p>
    <w:p w14:paraId="7370C9EA" w14:textId="1EEC01FA" w:rsidR="00D27D5B" w:rsidRPr="00812C50" w:rsidRDefault="00D27D5B" w:rsidP="00D72AAB">
      <w:pPr>
        <w:pStyle w:val="Heading3"/>
        <w:rPr>
          <w:b w:val="0"/>
          <w:bCs w:val="0"/>
          <w:sz w:val="24"/>
          <w:szCs w:val="24"/>
        </w:rPr>
      </w:pPr>
      <w:bookmarkStart w:id="37" w:name="_Int_gRp087jH"/>
      <w:proofErr w:type="spellStart"/>
      <w:r w:rsidRPr="00347C1E">
        <w:rPr>
          <w:b w:val="0"/>
          <w:bCs w:val="0"/>
          <w:sz w:val="24"/>
          <w:szCs w:val="24"/>
        </w:rPr>
        <w:t>EqIA</w:t>
      </w:r>
      <w:bookmarkEnd w:id="37"/>
      <w:proofErr w:type="spellEnd"/>
      <w:r w:rsidRPr="00347C1E">
        <w:rPr>
          <w:b w:val="0"/>
          <w:bCs w:val="0"/>
          <w:sz w:val="24"/>
          <w:szCs w:val="24"/>
        </w:rPr>
        <w:t xml:space="preserve"> carried out:  N</w:t>
      </w:r>
      <w:r w:rsidR="007B0F8E" w:rsidRPr="00347C1E">
        <w:rPr>
          <w:b w:val="0"/>
          <w:bCs w:val="0"/>
          <w:sz w:val="24"/>
          <w:szCs w:val="24"/>
        </w:rPr>
        <w:t>o:</w:t>
      </w:r>
      <w:r w:rsidR="009C7E03" w:rsidRPr="00347C1E">
        <w:rPr>
          <w:b w:val="0"/>
          <w:bCs w:val="0"/>
          <w:sz w:val="24"/>
          <w:szCs w:val="24"/>
        </w:rPr>
        <w:t xml:space="preserve"> refer to paragraph </w:t>
      </w:r>
      <w:r w:rsidR="00263F78" w:rsidRPr="00347C1E">
        <w:rPr>
          <w:b w:val="0"/>
          <w:bCs w:val="0"/>
          <w:sz w:val="24"/>
          <w:szCs w:val="24"/>
        </w:rPr>
        <w:t>1</w:t>
      </w:r>
      <w:r w:rsidR="006040F6">
        <w:rPr>
          <w:b w:val="0"/>
          <w:bCs w:val="0"/>
          <w:sz w:val="24"/>
          <w:szCs w:val="24"/>
        </w:rPr>
        <w:t>6</w:t>
      </w:r>
      <w:r w:rsidR="00F66577" w:rsidRPr="00347C1E">
        <w:rPr>
          <w:b w:val="0"/>
          <w:bCs w:val="0"/>
          <w:sz w:val="24"/>
          <w:szCs w:val="24"/>
        </w:rPr>
        <w:t xml:space="preserve"> </w:t>
      </w:r>
      <w:r w:rsidR="009C7E03" w:rsidRPr="00347C1E">
        <w:rPr>
          <w:b w:val="0"/>
          <w:bCs w:val="0"/>
          <w:sz w:val="24"/>
          <w:szCs w:val="24"/>
        </w:rPr>
        <w:t>above</w:t>
      </w:r>
    </w:p>
    <w:p w14:paraId="45992642" w14:textId="5D854FBC" w:rsidR="00D27D5B" w:rsidRPr="00812C50" w:rsidRDefault="00D27D5B" w:rsidP="00D72AAB">
      <w:pPr>
        <w:pStyle w:val="Heading3"/>
        <w:rPr>
          <w:b w:val="0"/>
          <w:bCs w:val="0"/>
          <w:sz w:val="24"/>
          <w:szCs w:val="24"/>
        </w:rPr>
      </w:pPr>
      <w:proofErr w:type="spellStart"/>
      <w:r w:rsidRPr="00812C50">
        <w:rPr>
          <w:b w:val="0"/>
          <w:bCs w:val="0"/>
          <w:sz w:val="24"/>
          <w:szCs w:val="24"/>
        </w:rPr>
        <w:t>EqIA</w:t>
      </w:r>
      <w:proofErr w:type="spellEnd"/>
      <w:r w:rsidRPr="00812C50">
        <w:rPr>
          <w:b w:val="0"/>
          <w:bCs w:val="0"/>
          <w:sz w:val="24"/>
          <w:szCs w:val="24"/>
        </w:rPr>
        <w:t xml:space="preserve"> cleared by:  </w:t>
      </w:r>
      <w:r w:rsidR="009C7E03" w:rsidRPr="00812C50">
        <w:rPr>
          <w:b w:val="0"/>
          <w:bCs w:val="0"/>
          <w:sz w:val="24"/>
          <w:szCs w:val="24"/>
        </w:rPr>
        <w:t>N/A</w:t>
      </w:r>
    </w:p>
    <w:p w14:paraId="1F5D9269" w14:textId="77777777" w:rsidR="005441BD" w:rsidRPr="003F382E" w:rsidRDefault="005441BD" w:rsidP="006040F6">
      <w:pPr>
        <w:pStyle w:val="Heading2"/>
        <w:keepNext/>
        <w:spacing w:before="480" w:after="240"/>
        <w:jc w:val="both"/>
      </w:pPr>
      <w:r w:rsidRPr="003F382E">
        <w:t xml:space="preserve">Section </w:t>
      </w:r>
      <w:r w:rsidR="00B8374D" w:rsidRPr="003F382E">
        <w:t>4</w:t>
      </w:r>
      <w:r w:rsidRPr="003F382E">
        <w:t xml:space="preserve"> - Contact Details and Background Papers</w:t>
      </w:r>
    </w:p>
    <w:p w14:paraId="63C69737" w14:textId="5F87E68B" w:rsidR="005441BD" w:rsidRPr="003F382E" w:rsidRDefault="005441BD" w:rsidP="00D72AAB">
      <w:pPr>
        <w:pStyle w:val="Infotext"/>
        <w:jc w:val="both"/>
      </w:pPr>
      <w:r w:rsidRPr="003F382E">
        <w:rPr>
          <w:b/>
        </w:rPr>
        <w:t>Contact:</w:t>
      </w:r>
      <w:r w:rsidRPr="003F382E">
        <w:t xml:space="preserve">  </w:t>
      </w:r>
      <w:r w:rsidR="009C7E03" w:rsidRPr="003F382E">
        <w:rPr>
          <w:szCs w:val="28"/>
        </w:rPr>
        <w:t>Callum Sayers, Principal Planning Policy Officer</w:t>
      </w:r>
      <w:r w:rsidR="00233550" w:rsidRPr="003F382E">
        <w:rPr>
          <w:szCs w:val="28"/>
        </w:rPr>
        <w:t xml:space="preserve">, </w:t>
      </w:r>
      <w:r w:rsidR="00233550" w:rsidRPr="003F382E">
        <w:rPr>
          <w:rFonts w:eastAsiaTheme="minorEastAsia" w:cs="Arial"/>
          <w:noProof/>
          <w:szCs w:val="28"/>
          <w:lang w:eastAsia="en-GB"/>
        </w:rPr>
        <w:t xml:space="preserve">077 3159 1724, </w:t>
      </w:r>
      <w:hyperlink r:id="rId18" w:history="1">
        <w:r w:rsidR="00233550" w:rsidRPr="003F382E">
          <w:rPr>
            <w:rStyle w:val="Hyperlink"/>
            <w:rFonts w:eastAsiaTheme="minorEastAsia" w:cs="Arial"/>
            <w:noProof/>
            <w:szCs w:val="28"/>
            <w:lang w:eastAsia="en-GB"/>
          </w:rPr>
          <w:t>callum.sayers@harrow.gov.uk</w:t>
        </w:r>
      </w:hyperlink>
      <w:r w:rsidR="00233550" w:rsidRPr="003F382E">
        <w:rPr>
          <w:rFonts w:eastAsiaTheme="minorEastAsia" w:cs="Arial"/>
          <w:noProof/>
          <w:sz w:val="20"/>
          <w:lang w:eastAsia="en-GB"/>
        </w:rPr>
        <w:t xml:space="preserve"> </w:t>
      </w:r>
      <w:r w:rsidR="009C7E03" w:rsidRPr="003F382E">
        <w:t xml:space="preserve"> </w:t>
      </w:r>
    </w:p>
    <w:p w14:paraId="0F54757A" w14:textId="77777777" w:rsidR="0022455D" w:rsidRPr="003F382E" w:rsidRDefault="005441BD" w:rsidP="00D72AAB">
      <w:pPr>
        <w:pStyle w:val="Infotext"/>
        <w:spacing w:before="240"/>
        <w:jc w:val="both"/>
      </w:pPr>
      <w:r w:rsidRPr="003F382E">
        <w:rPr>
          <w:b/>
        </w:rPr>
        <w:t>Background Papers:</w:t>
      </w:r>
      <w:r w:rsidRPr="003F382E">
        <w:t xml:space="preserve">  </w:t>
      </w:r>
    </w:p>
    <w:p w14:paraId="3FC6941B" w14:textId="77777777" w:rsidR="0022455D" w:rsidRPr="00DC1AA9" w:rsidRDefault="00052653" w:rsidP="00D72AAB">
      <w:pPr>
        <w:pStyle w:val="Infotext"/>
        <w:numPr>
          <w:ilvl w:val="0"/>
          <w:numId w:val="2"/>
        </w:numPr>
        <w:ind w:left="714" w:hanging="357"/>
        <w:jc w:val="both"/>
        <w:rPr>
          <w:sz w:val="24"/>
          <w:szCs w:val="24"/>
        </w:rPr>
      </w:pPr>
      <w:hyperlink r:id="rId19" w:history="1">
        <w:r w:rsidR="0022455D" w:rsidRPr="00DC1AA9">
          <w:rPr>
            <w:rStyle w:val="Hyperlink"/>
            <w:color w:val="auto"/>
            <w:sz w:val="24"/>
            <w:szCs w:val="24"/>
          </w:rPr>
          <w:t>National Planning Policy Framework (2021)</w:t>
        </w:r>
      </w:hyperlink>
      <w:r w:rsidR="0022455D" w:rsidRPr="00DC1AA9">
        <w:rPr>
          <w:sz w:val="24"/>
          <w:szCs w:val="24"/>
        </w:rPr>
        <w:t xml:space="preserve"> </w:t>
      </w:r>
    </w:p>
    <w:p w14:paraId="402CA9A6" w14:textId="77777777" w:rsidR="0022455D" w:rsidRPr="00DC1AA9" w:rsidRDefault="00052653" w:rsidP="00D72AAB">
      <w:pPr>
        <w:pStyle w:val="Infotext"/>
        <w:numPr>
          <w:ilvl w:val="0"/>
          <w:numId w:val="2"/>
        </w:numPr>
        <w:ind w:left="714" w:hanging="357"/>
        <w:jc w:val="both"/>
        <w:rPr>
          <w:sz w:val="24"/>
          <w:szCs w:val="24"/>
        </w:rPr>
      </w:pPr>
      <w:hyperlink r:id="rId20" w:history="1">
        <w:r w:rsidR="0022455D" w:rsidRPr="00DC1AA9">
          <w:rPr>
            <w:rStyle w:val="Hyperlink"/>
            <w:color w:val="auto"/>
            <w:sz w:val="24"/>
            <w:szCs w:val="24"/>
          </w:rPr>
          <w:t>London Plan (2021)</w:t>
        </w:r>
      </w:hyperlink>
      <w:r w:rsidR="0022455D" w:rsidRPr="00DC1AA9">
        <w:rPr>
          <w:sz w:val="24"/>
          <w:szCs w:val="24"/>
        </w:rPr>
        <w:t xml:space="preserve"> </w:t>
      </w:r>
    </w:p>
    <w:p w14:paraId="54A40759" w14:textId="04C110D2" w:rsidR="000D5D8B" w:rsidRPr="00416055" w:rsidRDefault="00052653" w:rsidP="00D72AAB">
      <w:pPr>
        <w:pStyle w:val="Infotext"/>
        <w:numPr>
          <w:ilvl w:val="0"/>
          <w:numId w:val="2"/>
        </w:numPr>
        <w:ind w:left="714" w:hanging="357"/>
        <w:jc w:val="both"/>
        <w:rPr>
          <w:rStyle w:val="Hyperlink"/>
          <w:rFonts w:cs="Arial"/>
          <w:color w:val="auto"/>
          <w:sz w:val="24"/>
          <w:szCs w:val="22"/>
          <w:u w:val="none"/>
        </w:rPr>
      </w:pPr>
      <w:hyperlink r:id="rId21" w:history="1">
        <w:r w:rsidR="0022455D" w:rsidRPr="00DC1AA9">
          <w:rPr>
            <w:rStyle w:val="Hyperlink"/>
            <w:color w:val="auto"/>
            <w:sz w:val="24"/>
            <w:szCs w:val="24"/>
          </w:rPr>
          <w:t>Harrow Local Plan</w:t>
        </w:r>
      </w:hyperlink>
      <w:r w:rsidR="00DC1AA9" w:rsidRPr="00DC1AA9">
        <w:rPr>
          <w:rStyle w:val="Hyperlink"/>
          <w:color w:val="auto"/>
          <w:sz w:val="24"/>
          <w:szCs w:val="24"/>
        </w:rPr>
        <w:t xml:space="preserve"> </w:t>
      </w:r>
    </w:p>
    <w:p w14:paraId="7CFAFF63" w14:textId="77777777" w:rsidR="00B6091D" w:rsidRDefault="00B6091D">
      <w:pPr>
        <w:rPr>
          <w:b/>
          <w:bCs/>
          <w:szCs w:val="24"/>
        </w:rPr>
      </w:pPr>
      <w:r>
        <w:rPr>
          <w:b/>
          <w:bCs/>
          <w:szCs w:val="24"/>
        </w:rPr>
        <w:br w:type="page"/>
      </w:r>
    </w:p>
    <w:p w14:paraId="46C61E9B" w14:textId="493EFE1B" w:rsidR="00416055" w:rsidRPr="00C5774A" w:rsidRDefault="007C2A2E" w:rsidP="00D72AAB">
      <w:pPr>
        <w:jc w:val="both"/>
        <w:rPr>
          <w:rFonts w:ascii="Arial Black" w:hAnsi="Arial Black"/>
          <w:b/>
          <w:bCs/>
          <w:sz w:val="32"/>
          <w:szCs w:val="32"/>
        </w:rPr>
      </w:pPr>
      <w:r w:rsidRPr="00C5774A">
        <w:rPr>
          <w:rFonts w:ascii="Arial Black" w:hAnsi="Arial Black"/>
          <w:b/>
          <w:bCs/>
          <w:sz w:val="32"/>
          <w:szCs w:val="32"/>
        </w:rPr>
        <w:lastRenderedPageBreak/>
        <w:t xml:space="preserve">Appendix 1: </w:t>
      </w:r>
      <w:r w:rsidR="00416055" w:rsidRPr="556D232D">
        <w:rPr>
          <w:rFonts w:ascii="Arial Nova" w:eastAsia="Arial Nova" w:hAnsi="Arial Nova" w:cs="Arial Nova"/>
          <w:b/>
          <w:sz w:val="28"/>
          <w:szCs w:val="28"/>
        </w:rPr>
        <w:t xml:space="preserve">Draft </w:t>
      </w:r>
      <w:r w:rsidR="539CCBA7" w:rsidRPr="0EC8F71F">
        <w:rPr>
          <w:rFonts w:ascii="Arial Nova" w:eastAsia="Arial Nova" w:hAnsi="Arial Nova" w:cs="Arial Nova"/>
          <w:b/>
          <w:sz w:val="28"/>
          <w:szCs w:val="28"/>
        </w:rPr>
        <w:t>Tall Buildings (‘</w:t>
      </w:r>
      <w:r w:rsidR="0038103B" w:rsidRPr="0EC8F71F">
        <w:rPr>
          <w:rFonts w:ascii="Arial Nova" w:eastAsia="Arial Nova" w:hAnsi="Arial Nova" w:cs="Arial Nova"/>
          <w:b/>
          <w:sz w:val="28"/>
          <w:szCs w:val="28"/>
        </w:rPr>
        <w:t xml:space="preserve">Building </w:t>
      </w:r>
      <w:r w:rsidR="539CCBA7" w:rsidRPr="0EC8F71F">
        <w:rPr>
          <w:rFonts w:ascii="Arial Nova" w:eastAsia="Arial Nova" w:hAnsi="Arial Nova" w:cs="Arial Nova"/>
          <w:b/>
          <w:sz w:val="28"/>
          <w:szCs w:val="28"/>
        </w:rPr>
        <w:t>Heights’)</w:t>
      </w:r>
      <w:r w:rsidR="0038103B" w:rsidRPr="556D232D">
        <w:rPr>
          <w:rFonts w:ascii="Arial Nova" w:eastAsia="Arial Nova" w:hAnsi="Arial Nova" w:cs="Arial Nova"/>
          <w:b/>
          <w:sz w:val="28"/>
          <w:szCs w:val="28"/>
        </w:rPr>
        <w:t xml:space="preserve"> Supplementary Planning Document </w:t>
      </w:r>
    </w:p>
    <w:p w14:paraId="3990F940" w14:textId="77777777" w:rsidR="00416055" w:rsidRPr="00C5774A" w:rsidRDefault="00416055" w:rsidP="00D72AAB">
      <w:pPr>
        <w:jc w:val="both"/>
        <w:rPr>
          <w:rFonts w:ascii="Arial Black" w:hAnsi="Arial Black"/>
          <w:sz w:val="32"/>
          <w:szCs w:val="32"/>
        </w:rPr>
      </w:pPr>
    </w:p>
    <w:p w14:paraId="64A9008A" w14:textId="77777777" w:rsidR="00416055" w:rsidRPr="00C5774A" w:rsidRDefault="00416055" w:rsidP="00D72AAB">
      <w:pPr>
        <w:jc w:val="both"/>
        <w:rPr>
          <w:rFonts w:ascii="Arial Black" w:hAnsi="Arial Black"/>
          <w:sz w:val="32"/>
          <w:szCs w:val="32"/>
        </w:rPr>
      </w:pPr>
    </w:p>
    <w:p w14:paraId="64C3736E" w14:textId="77777777" w:rsidR="00D354F5" w:rsidRPr="00C5774A" w:rsidRDefault="00D354F5" w:rsidP="00D72AAB">
      <w:pPr>
        <w:pStyle w:val="Infotext"/>
        <w:jc w:val="both"/>
        <w:rPr>
          <w:rFonts w:ascii="Arial Black" w:hAnsi="Arial Black" w:cs="Arial"/>
          <w:sz w:val="32"/>
          <w:szCs w:val="32"/>
        </w:rPr>
      </w:pPr>
    </w:p>
    <w:sectPr w:rsidR="00D354F5" w:rsidRPr="00C5774A" w:rsidSect="00692671">
      <w:type w:val="continuous"/>
      <w:pgSz w:w="11909" w:h="16834" w:code="9"/>
      <w:pgMar w:top="864" w:right="1277" w:bottom="1440"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AAEBA" w14:textId="77777777" w:rsidR="00052653" w:rsidRDefault="00052653">
      <w:r>
        <w:separator/>
      </w:r>
    </w:p>
  </w:endnote>
  <w:endnote w:type="continuationSeparator" w:id="0">
    <w:p w14:paraId="16CF61DB" w14:textId="77777777" w:rsidR="00052653" w:rsidRDefault="00052653">
      <w:r>
        <w:continuationSeparator/>
      </w:r>
    </w:p>
  </w:endnote>
  <w:endnote w:type="continuationNotice" w:id="1">
    <w:p w14:paraId="1DE56F08" w14:textId="77777777" w:rsidR="00052653" w:rsidRDefault="000526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AlliesMorrisonSerifaND">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Nova">
    <w:altName w:val="Arial Nova"/>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C201" w14:textId="77777777" w:rsidR="002D7BE3" w:rsidRDefault="002D7B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81B4" w14:textId="77777777" w:rsidR="002D7BE3" w:rsidRDefault="002D7BE3" w:rsidP="002D7B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E6865" w14:textId="77777777" w:rsidR="00052653" w:rsidRDefault="00052653">
      <w:r>
        <w:separator/>
      </w:r>
    </w:p>
  </w:footnote>
  <w:footnote w:type="continuationSeparator" w:id="0">
    <w:p w14:paraId="52683A97" w14:textId="77777777" w:rsidR="00052653" w:rsidRDefault="00052653">
      <w:r>
        <w:continuationSeparator/>
      </w:r>
    </w:p>
  </w:footnote>
  <w:footnote w:type="continuationNotice" w:id="1">
    <w:p w14:paraId="28021803" w14:textId="77777777" w:rsidR="00052653" w:rsidRDefault="00052653"/>
  </w:footnote>
  <w:footnote w:id="2">
    <w:p w14:paraId="4461BBFA" w14:textId="77777777" w:rsidR="00336C8B" w:rsidRDefault="00336C8B" w:rsidP="00336C8B">
      <w:pPr>
        <w:pStyle w:val="FootnoteText"/>
        <w:rPr>
          <w:rFonts w:asciiTheme="minorHAnsi" w:hAnsiTheme="minorHAnsi" w:cstheme="minorBidi"/>
        </w:rPr>
      </w:pPr>
      <w:r>
        <w:rPr>
          <w:rStyle w:val="FootnoteReference"/>
        </w:rPr>
        <w:footnoteRef/>
      </w:r>
      <w:r>
        <w:t xml:space="preserve"> </w:t>
      </w:r>
      <w:r w:rsidRPr="00D32E39">
        <w:rPr>
          <w:rFonts w:ascii="Arial" w:hAnsi="Arial" w:cs="Arial"/>
          <w:sz w:val="18"/>
          <w:szCs w:val="18"/>
        </w:rPr>
        <w:t>See Cabinet meeting 24 May 2022, item 5 (</w:t>
      </w:r>
      <w:hyperlink r:id="rId1" w:history="1">
        <w:r w:rsidRPr="00D32E39">
          <w:rPr>
            <w:rStyle w:val="Hyperlink"/>
            <w:rFonts w:ascii="Arial" w:hAnsi="Arial" w:cs="Arial"/>
            <w:sz w:val="18"/>
            <w:szCs w:val="18"/>
          </w:rPr>
          <w:t>https://moderngov.harrow.gov.uk/documents/s176909/Cabinet%20Report%20-%20May%202022%20-%20Tall%20Buildings%20and%20Conversions%20-%20FINAL%20V2%20-%20220517.pdf</w:t>
        </w:r>
      </w:hyperlink>
      <w:r w:rsidRPr="00D32E39">
        <w:rPr>
          <w:rFonts w:ascii="Arial" w:hAnsi="Arial" w:cs="Arial"/>
          <w:sz w:val="18"/>
          <w:szCs w:val="18"/>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98DFD" w14:textId="77777777" w:rsidR="00B672ED" w:rsidRDefault="00B672ED">
    <w:pPr>
      <w:pStyle w:val="Header"/>
    </w:pPr>
  </w:p>
</w:hdr>
</file>

<file path=word/intelligence2.xml><?xml version="1.0" encoding="utf-8"?>
<int2:intelligence xmlns:int2="http://schemas.microsoft.com/office/intelligence/2020/intelligence" xmlns:oel="http://schemas.microsoft.com/office/2019/extlst">
  <int2:observations>
    <int2:textHash int2:hashCode="iBvj6RmmjZDoEF" int2:id="AoW8HhUH">
      <int2:state int2:value="Rejected" int2:type="LegacyProofing"/>
    </int2:textHash>
    <int2:textHash int2:hashCode="Ybm1nKcuyMEzJV" int2:id="RxV4nFTj">
      <int2:state int2:value="Rejected" int2:type="LegacyProofing"/>
    </int2:textHash>
    <int2:textHash int2:hashCode="l/F3qaURjXHmTy" int2:id="ZNq778mU">
      <int2:state int2:value="Rejected" int2:type="LegacyProofing"/>
    </int2:textHash>
    <int2:textHash int2:hashCode="BC3EUS+j05HFFw" int2:id="qu9AeXoF">
      <int2:state int2:value="Rejected" int2:type="LegacyProofing"/>
    </int2:textHash>
    <int2:bookmark int2:bookmarkName="_Int_1ZFBMpd7" int2:invalidationBookmarkName="" int2:hashCode="GmQUmLCujJfs5S" int2:id="1OVfjrur">
      <int2:state int2:value="Rejected" int2:type="AugLoop_Text_Critique"/>
    </int2:bookmark>
    <int2:bookmark int2:bookmarkName="_Int_Ru29rvVa" int2:invalidationBookmarkName="" int2:hashCode="oPODArgw79/1BP" int2:id="4jLkLO2I">
      <int2:state int2:value="Rejected" int2:type="AugLoop_Text_Critique"/>
    </int2:bookmark>
    <int2:bookmark int2:bookmarkName="_Int_rllalXHk" int2:invalidationBookmarkName="" int2:hashCode="oSB3mYQ2TfF7Jh" int2:id="7rtZFUjF">
      <int2:state int2:value="Rejected" int2:type="LegacyProofing"/>
    </int2:bookmark>
    <int2:bookmark int2:bookmarkName="_Int_i8KRjg64" int2:invalidationBookmarkName="" int2:hashCode="0lXQ0GySJQ8tJA" int2:id="8GtRsvn9"/>
    <int2:bookmark int2:bookmarkName="_Int_zsMDlAuQ" int2:invalidationBookmarkName="" int2:hashCode="RoHRJMxsS3O6q/" int2:id="8r270pzL"/>
    <int2:bookmark int2:bookmarkName="_Int_HEqOfdbl" int2:invalidationBookmarkName="" int2:hashCode="k98rX0Gs2KXTNT" int2:id="9Hxr2ApZ"/>
    <int2:bookmark int2:bookmarkName="_Int_uneABJOn" int2:invalidationBookmarkName="" int2:hashCode="H+n069jMqMkrTH" int2:id="AUWeX2aQ">
      <int2:state int2:value="Rejected" int2:type="LegacyProofing"/>
    </int2:bookmark>
    <int2:bookmark int2:bookmarkName="_Int_ZEfHDEeP" int2:invalidationBookmarkName="" int2:hashCode="HlPM2ywv9g3eMB" int2:id="EdUgkbff">
      <int2:state int2:value="Rejected" int2:type="AugLoop_Text_Critique"/>
    </int2:bookmark>
    <int2:bookmark int2:bookmarkName="_Int_6sb3rNoH" int2:invalidationBookmarkName="" int2:hashCode="uW6LLoWIXjcOb+" int2:id="GArH6XxU">
      <int2:state int2:value="Rejected" int2:type="AugLoop_Text_Critique"/>
    </int2:bookmark>
    <int2:bookmark int2:bookmarkName="_Int_1bxbW5Eh" int2:invalidationBookmarkName="" int2:hashCode="9Jb8O1p5UwvJ0I" int2:id="GbsTNNFa">
      <int2:state int2:value="Rejected" int2:type="LegacyProofing"/>
    </int2:bookmark>
    <int2:bookmark int2:bookmarkName="_Int_DJWVbejF" int2:invalidationBookmarkName="" int2:hashCode="6bVNq+N7VCJ8bt" int2:id="IAzGPqrR"/>
    <int2:bookmark int2:bookmarkName="_Int_4tCaHPRb" int2:invalidationBookmarkName="" int2:hashCode="LDoO9u9DFubl0c" int2:id="IeMDH11i">
      <int2:state int2:value="Rejected" int2:type="LegacyProofing"/>
    </int2:bookmark>
    <int2:bookmark int2:bookmarkName="_Int_EBCguS9I" int2:invalidationBookmarkName="" int2:hashCode="V9CnXcV+ZGgRNM" int2:id="JYrU0w46"/>
    <int2:bookmark int2:bookmarkName="_Int_W5M5aIUz" int2:invalidationBookmarkName="" int2:hashCode="WnZTP6IPvFw6Ut" int2:id="MVJO1ALt"/>
    <int2:bookmark int2:bookmarkName="_Int_ampzfeNi" int2:invalidationBookmarkName="" int2:hashCode="LDoO9u9DFubl0c" int2:id="O6ljXszc">
      <int2:state int2:value="Rejected" int2:type="LegacyProofing"/>
    </int2:bookmark>
    <int2:bookmark int2:bookmarkName="_Int_qB4Klenf" int2:invalidationBookmarkName="" int2:hashCode="oSB3mYQ2TfF7Jh" int2:id="PPNnSvXv">
      <int2:state int2:value="Rejected" int2:type="LegacyProofing"/>
    </int2:bookmark>
    <int2:bookmark int2:bookmarkName="_Int_K2X7c0iD" int2:invalidationBookmarkName="" int2:hashCode="oPODArgw79/1BP" int2:id="RBTQHkmw">
      <int2:state int2:value="Rejected" int2:type="AugLoop_Text_Critique"/>
    </int2:bookmark>
    <int2:bookmark int2:bookmarkName="_Int_3kytYBRE" int2:invalidationBookmarkName="" int2:hashCode="0lXQ0GySJQ8tJA" int2:id="SOHo4J6t"/>
    <int2:bookmark int2:bookmarkName="_Int_o3tqvzZU" int2:invalidationBookmarkName="" int2:hashCode="Amad1TDecOO61G" int2:id="VqzaaGyu">
      <int2:state int2:value="Rejected" int2:type="AugLoop_Text_Critique"/>
    </int2:bookmark>
    <int2:bookmark int2:bookmarkName="_Int_gRp087jH" int2:invalidationBookmarkName="" int2:hashCode="bh1bxRWPLMLBzR" int2:id="XpGWJXIs">
      <int2:state int2:value="Rejected" int2:type="AugLoop_Acronyms_AcronymsCritique"/>
    </int2:bookmark>
    <int2:bookmark int2:bookmarkName="_Int_xMP9Ffua" int2:invalidationBookmarkName="" int2:hashCode="RoHRJMxsS3O6q/" int2:id="Y83AoZBV"/>
    <int2:bookmark int2:bookmarkName="_Int_AK6EJA6g" int2:invalidationBookmarkName="" int2:hashCode="0lXQ0GySJQ8tJA" int2:id="Yo0AwkDS">
      <int2:state int2:value="Rejected" int2:type="AugLoop_Text_Critique"/>
    </int2:bookmark>
    <int2:bookmark int2:bookmarkName="_Int_GYP6h9qe" int2:invalidationBookmarkName="" int2:hashCode="c+flRcUZo48K7J" int2:id="Z0PIv3O7">
      <int2:state int2:value="Rejected" int2:type="AugLoop_Text_Critique"/>
    </int2:bookmark>
    <int2:bookmark int2:bookmarkName="_Int_S7VZo8Wq" int2:invalidationBookmarkName="" int2:hashCode="0lXQ0GySJQ8tJA" int2:id="ZrSqrLAr">
      <int2:state int2:value="Rejected" int2:type="AugLoop_Text_Critique"/>
    </int2:bookmark>
    <int2:bookmark int2:bookmarkName="_Int_N9KTGjsO" int2:invalidationBookmarkName="" int2:hashCode="TTNQAbV6ZGzlJw" int2:id="aemiJMOR">
      <int2:state int2:value="Rejected" int2:type="AugLoop_Text_Critique"/>
    </int2:bookmark>
    <int2:bookmark int2:bookmarkName="_Int_SPISXX1R" int2:invalidationBookmarkName="" int2:hashCode="dFMNctqbPLmm/b" int2:id="iRyVDphv">
      <int2:state int2:value="Rejected" int2:type="LegacyProofing"/>
    </int2:bookmark>
    <int2:bookmark int2:bookmarkName="_Int_jihgatzk" int2:invalidationBookmarkName="" int2:hashCode="LDoO9u9DFubl0c" int2:id="joyyFBmt">
      <int2:state int2:value="Rejected" int2:type="LegacyProofing"/>
    </int2:bookmark>
    <int2:bookmark int2:bookmarkName="_Int_K1croG1c" int2:invalidationBookmarkName="" int2:hashCode="79brjmMqdp/FzT" int2:id="lD4uTJ20">
      <int2:state int2:value="Rejected" int2:type="AugLoop_Text_Critique"/>
    </int2:bookmark>
    <int2:bookmark int2:bookmarkName="_Int_MEVUbMUt" int2:invalidationBookmarkName="" int2:hashCode="cm+8+COjKL4u2w" int2:id="lW71sOOL">
      <int2:state int2:value="Rejected" int2:type="AugLoop_Acronyms_AcronymsCritique"/>
    </int2:bookmark>
    <int2:bookmark int2:bookmarkName="_Int_aN3cr2CW" int2:invalidationBookmarkName="" int2:hashCode="Qgz1CMqeicYFuW" int2:id="mr4Keigt">
      <int2:state int2:value="Rejected" int2:type="AugLoop_Text_Critique"/>
    </int2:bookmark>
    <int2:bookmark int2:bookmarkName="_Int_kUM3TUqT" int2:invalidationBookmarkName="" int2:hashCode="IK51sFBdkvgsl0" int2:id="p5WoxgsP">
      <int2:state int2:value="Rejected" int2:type="AugLoop_Text_Critique"/>
    </int2:bookmark>
    <int2:bookmark int2:bookmarkName="_Int_jbVTLpuh" int2:invalidationBookmarkName="" int2:hashCode="XEbAsqc9Rn7weH" int2:id="qtV3GuXC"/>
    <int2:bookmark int2:bookmarkName="_Int_YOhjkl6g" int2:invalidationBookmarkName="" int2:hashCode="RoHRJMxsS3O6q/" int2:id="rTg39s2B"/>
    <int2:bookmark int2:bookmarkName="_Int_3yeajc34" int2:invalidationBookmarkName="" int2:hashCode="eF745FqhjvHOZm" int2:id="s1yLvbqG">
      <int2:state int2:value="Rejected" int2:type="AugLoop_Text_Critique"/>
    </int2:bookmark>
    <int2:bookmark int2:bookmarkName="_Int_WefD2HXo" int2:invalidationBookmarkName="" int2:hashCode="wYBAQbIVzVCihN" int2:id="t0PgIFKF"/>
    <int2:bookmark int2:bookmarkName="_Int_CpMprG5Z" int2:invalidationBookmarkName="" int2:hashCode="k617QjM5py2hve" int2:id="tsqf8Zeg">
      <int2:state int2:value="Rejected" int2:type="AugLoop_Text_Critique"/>
    </int2:bookmark>
    <int2:bookmark int2:bookmarkName="_Int_11Fi6vsV" int2:invalidationBookmarkName="" int2:hashCode="oSB3mYQ2TfF7Jh" int2:id="ueQuT5Cf">
      <int2:state int2:value="Rejected" int2:type="LegacyProofing"/>
    </int2:bookmark>
    <int2:bookmark int2:bookmarkName="_Int_uuCeUJqU" int2:invalidationBookmarkName="" int2:hashCode="oxXe4L0i9FJl9n" int2:id="uovLPZ7U">
      <int2:state int2:value="Rejected" int2:type="LegacyProofing"/>
    </int2:bookmark>
    <int2:bookmark int2:bookmarkName="_Int_3Tpeiock" int2:invalidationBookmarkName="" int2:hashCode="w7PrND/UPpYlu9" int2:id="vdsQaENM">
      <int2:state int2:value="Rejected" int2:type="AugLoop_Acronyms_AcronymsCritique"/>
    </int2:bookmark>
    <int2:bookmark int2:bookmarkName="_Int_uYUvm5DC" int2:invalidationBookmarkName="" int2:hashCode="IEEkdmk2qlIoq+" int2:id="wHpfIHa5">
      <int2:state int2:value="Rejected" int2:type="LegacyProofing"/>
    </int2:bookmark>
    <int2:bookmark int2:bookmarkName="_Int_xrs32pRy" int2:invalidationBookmarkName="" int2:hashCode="biDSsgPPvG2yGX" int2:id="yUEeba2n">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E5DBC"/>
    <w:multiLevelType w:val="hybridMultilevel"/>
    <w:tmpl w:val="8F6CB374"/>
    <w:lvl w:ilvl="0" w:tplc="08090019">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6E95399"/>
    <w:multiLevelType w:val="multilevel"/>
    <w:tmpl w:val="9FC4BE9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8293424"/>
    <w:multiLevelType w:val="multilevel"/>
    <w:tmpl w:val="F7B09CD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3F2C3B"/>
    <w:multiLevelType w:val="hybridMultilevel"/>
    <w:tmpl w:val="FAE49ED6"/>
    <w:lvl w:ilvl="0" w:tplc="FFFFFFFF">
      <w:start w:val="1"/>
      <w:numFmt w:val="bullet"/>
      <w:lvlText w:val=""/>
      <w:lvlJc w:val="left"/>
      <w:pPr>
        <w:ind w:left="1080" w:hanging="360"/>
      </w:pPr>
      <w:rPr>
        <w:rFonts w:ascii="Symbol" w:hAnsi="Symbol" w:hint="default"/>
      </w:rPr>
    </w:lvl>
    <w:lvl w:ilvl="1" w:tplc="0809001B">
      <w:start w:val="1"/>
      <w:numFmt w:val="lowerRoman"/>
      <w:lvlText w:val="%2."/>
      <w:lvlJc w:val="right"/>
      <w:pPr>
        <w:ind w:left="1800" w:hanging="360"/>
      </w:pPr>
      <w:rPr>
        <w:rFont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5B0272F"/>
    <w:multiLevelType w:val="hybridMultilevel"/>
    <w:tmpl w:val="FEE65962"/>
    <w:lvl w:ilvl="0" w:tplc="08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CD14073"/>
    <w:multiLevelType w:val="hybridMultilevel"/>
    <w:tmpl w:val="65EED2F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E461A69"/>
    <w:multiLevelType w:val="hybridMultilevel"/>
    <w:tmpl w:val="BC943028"/>
    <w:lvl w:ilvl="0" w:tplc="08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1E462D17"/>
    <w:multiLevelType w:val="hybridMultilevel"/>
    <w:tmpl w:val="1EF05B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3065422"/>
    <w:multiLevelType w:val="hybridMultilevel"/>
    <w:tmpl w:val="E7F06CEE"/>
    <w:lvl w:ilvl="0" w:tplc="08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6110E14"/>
    <w:multiLevelType w:val="hybridMultilevel"/>
    <w:tmpl w:val="1C0655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1096D35"/>
    <w:multiLevelType w:val="hybridMultilevel"/>
    <w:tmpl w:val="AC94179C"/>
    <w:lvl w:ilvl="0" w:tplc="08090019">
      <w:start w:val="1"/>
      <w:numFmt w:val="lowerLetter"/>
      <w:lvlText w:val="%1."/>
      <w:lvlJc w:val="left"/>
      <w:pPr>
        <w:ind w:left="1560" w:hanging="360"/>
      </w:pPr>
      <w:rPr>
        <w:rFonts w:hint="default"/>
      </w:rPr>
    </w:lvl>
    <w:lvl w:ilvl="1" w:tplc="FFFFFFFF">
      <w:start w:val="1"/>
      <w:numFmt w:val="bullet"/>
      <w:lvlText w:val="o"/>
      <w:lvlJc w:val="left"/>
      <w:pPr>
        <w:ind w:left="2280" w:hanging="360"/>
      </w:pPr>
      <w:rPr>
        <w:rFonts w:ascii="Courier New" w:hAnsi="Courier New" w:cs="Courier New" w:hint="default"/>
      </w:rPr>
    </w:lvl>
    <w:lvl w:ilvl="2" w:tplc="FFFFFFFF">
      <w:start w:val="1"/>
      <w:numFmt w:val="bullet"/>
      <w:lvlText w:val=""/>
      <w:lvlJc w:val="left"/>
      <w:pPr>
        <w:ind w:left="3000" w:hanging="360"/>
      </w:pPr>
      <w:rPr>
        <w:rFonts w:ascii="Wingdings" w:hAnsi="Wingdings" w:hint="default"/>
      </w:rPr>
    </w:lvl>
    <w:lvl w:ilvl="3" w:tplc="FFFFFFFF">
      <w:start w:val="1"/>
      <w:numFmt w:val="bullet"/>
      <w:lvlText w:val=""/>
      <w:lvlJc w:val="left"/>
      <w:pPr>
        <w:ind w:left="3720" w:hanging="360"/>
      </w:pPr>
      <w:rPr>
        <w:rFonts w:ascii="Symbol" w:hAnsi="Symbol" w:hint="default"/>
      </w:rPr>
    </w:lvl>
    <w:lvl w:ilvl="4" w:tplc="FFFFFFFF">
      <w:start w:val="1"/>
      <w:numFmt w:val="bullet"/>
      <w:lvlText w:val="o"/>
      <w:lvlJc w:val="left"/>
      <w:pPr>
        <w:ind w:left="4440" w:hanging="360"/>
      </w:pPr>
      <w:rPr>
        <w:rFonts w:ascii="Courier New" w:hAnsi="Courier New" w:cs="Courier New" w:hint="default"/>
      </w:rPr>
    </w:lvl>
    <w:lvl w:ilvl="5" w:tplc="FFFFFFFF">
      <w:start w:val="1"/>
      <w:numFmt w:val="bullet"/>
      <w:lvlText w:val=""/>
      <w:lvlJc w:val="left"/>
      <w:pPr>
        <w:ind w:left="5160" w:hanging="360"/>
      </w:pPr>
      <w:rPr>
        <w:rFonts w:ascii="Wingdings" w:hAnsi="Wingdings" w:hint="default"/>
      </w:rPr>
    </w:lvl>
    <w:lvl w:ilvl="6" w:tplc="FFFFFFFF">
      <w:start w:val="1"/>
      <w:numFmt w:val="bullet"/>
      <w:lvlText w:val=""/>
      <w:lvlJc w:val="left"/>
      <w:pPr>
        <w:ind w:left="5880" w:hanging="360"/>
      </w:pPr>
      <w:rPr>
        <w:rFonts w:ascii="Symbol" w:hAnsi="Symbol" w:hint="default"/>
      </w:rPr>
    </w:lvl>
    <w:lvl w:ilvl="7" w:tplc="FFFFFFFF">
      <w:start w:val="1"/>
      <w:numFmt w:val="bullet"/>
      <w:lvlText w:val="o"/>
      <w:lvlJc w:val="left"/>
      <w:pPr>
        <w:ind w:left="6600" w:hanging="360"/>
      </w:pPr>
      <w:rPr>
        <w:rFonts w:ascii="Courier New" w:hAnsi="Courier New" w:cs="Courier New" w:hint="default"/>
      </w:rPr>
    </w:lvl>
    <w:lvl w:ilvl="8" w:tplc="FFFFFFFF">
      <w:start w:val="1"/>
      <w:numFmt w:val="bullet"/>
      <w:lvlText w:val=""/>
      <w:lvlJc w:val="left"/>
      <w:pPr>
        <w:ind w:left="7320" w:hanging="360"/>
      </w:pPr>
      <w:rPr>
        <w:rFonts w:ascii="Wingdings" w:hAnsi="Wingdings" w:hint="default"/>
      </w:rPr>
    </w:lvl>
  </w:abstractNum>
  <w:abstractNum w:abstractNumId="11"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6625446"/>
    <w:multiLevelType w:val="multilevel"/>
    <w:tmpl w:val="7166F23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88D117B"/>
    <w:multiLevelType w:val="hybridMultilevel"/>
    <w:tmpl w:val="725A82C6"/>
    <w:lvl w:ilvl="0" w:tplc="6B8A2554">
      <w:start w:val="1"/>
      <w:numFmt w:val="lowerLetter"/>
      <w:lvlText w:val="(%1)"/>
      <w:lvlJc w:val="left"/>
      <w:pPr>
        <w:ind w:left="1058" w:hanging="360"/>
      </w:pPr>
      <w:rPr>
        <w:rFonts w:hint="default"/>
      </w:rPr>
    </w:lvl>
    <w:lvl w:ilvl="1" w:tplc="08090019" w:tentative="1">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14" w15:restartNumberingAfterBreak="0">
    <w:nsid w:val="4EC927D3"/>
    <w:multiLevelType w:val="hybridMultilevel"/>
    <w:tmpl w:val="2A706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9727E6"/>
    <w:multiLevelType w:val="hybridMultilevel"/>
    <w:tmpl w:val="B8F8B578"/>
    <w:lvl w:ilvl="0" w:tplc="0809001B">
      <w:start w:val="1"/>
      <w:numFmt w:val="lowerRoman"/>
      <w:lvlText w:val="%1."/>
      <w:lvlJc w:val="righ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57E47F2C"/>
    <w:multiLevelType w:val="hybridMultilevel"/>
    <w:tmpl w:val="012E7B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ED264D7"/>
    <w:multiLevelType w:val="hybridMultilevel"/>
    <w:tmpl w:val="9CB44816"/>
    <w:lvl w:ilvl="0" w:tplc="08090019">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60696C7C"/>
    <w:multiLevelType w:val="hybridMultilevel"/>
    <w:tmpl w:val="56D211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99C50BB"/>
    <w:multiLevelType w:val="hybridMultilevel"/>
    <w:tmpl w:val="C5FE2E16"/>
    <w:lvl w:ilvl="0" w:tplc="08090001">
      <w:start w:val="1"/>
      <w:numFmt w:val="bullet"/>
      <w:lvlText w:val=""/>
      <w:lvlJc w:val="left"/>
      <w:pPr>
        <w:ind w:left="1560" w:hanging="360"/>
      </w:pPr>
      <w:rPr>
        <w:rFonts w:ascii="Symbol" w:hAnsi="Symbol" w:hint="default"/>
      </w:rPr>
    </w:lvl>
    <w:lvl w:ilvl="1" w:tplc="08090003">
      <w:start w:val="1"/>
      <w:numFmt w:val="bullet"/>
      <w:lvlText w:val="o"/>
      <w:lvlJc w:val="left"/>
      <w:pPr>
        <w:ind w:left="2280" w:hanging="360"/>
      </w:pPr>
      <w:rPr>
        <w:rFonts w:ascii="Courier New" w:hAnsi="Courier New" w:cs="Courier New" w:hint="default"/>
      </w:rPr>
    </w:lvl>
    <w:lvl w:ilvl="2" w:tplc="08090005">
      <w:start w:val="1"/>
      <w:numFmt w:val="bullet"/>
      <w:lvlText w:val=""/>
      <w:lvlJc w:val="left"/>
      <w:pPr>
        <w:ind w:left="3000" w:hanging="360"/>
      </w:pPr>
      <w:rPr>
        <w:rFonts w:ascii="Wingdings" w:hAnsi="Wingdings" w:hint="default"/>
      </w:rPr>
    </w:lvl>
    <w:lvl w:ilvl="3" w:tplc="08090001">
      <w:start w:val="1"/>
      <w:numFmt w:val="bullet"/>
      <w:lvlText w:val=""/>
      <w:lvlJc w:val="left"/>
      <w:pPr>
        <w:ind w:left="3720" w:hanging="360"/>
      </w:pPr>
      <w:rPr>
        <w:rFonts w:ascii="Symbol" w:hAnsi="Symbol" w:hint="default"/>
      </w:rPr>
    </w:lvl>
    <w:lvl w:ilvl="4" w:tplc="08090003">
      <w:start w:val="1"/>
      <w:numFmt w:val="bullet"/>
      <w:lvlText w:val="o"/>
      <w:lvlJc w:val="left"/>
      <w:pPr>
        <w:ind w:left="4440" w:hanging="360"/>
      </w:pPr>
      <w:rPr>
        <w:rFonts w:ascii="Courier New" w:hAnsi="Courier New" w:cs="Courier New" w:hint="default"/>
      </w:rPr>
    </w:lvl>
    <w:lvl w:ilvl="5" w:tplc="08090005">
      <w:start w:val="1"/>
      <w:numFmt w:val="bullet"/>
      <w:lvlText w:val=""/>
      <w:lvlJc w:val="left"/>
      <w:pPr>
        <w:ind w:left="5160" w:hanging="360"/>
      </w:pPr>
      <w:rPr>
        <w:rFonts w:ascii="Wingdings" w:hAnsi="Wingdings" w:hint="default"/>
      </w:rPr>
    </w:lvl>
    <w:lvl w:ilvl="6" w:tplc="08090001">
      <w:start w:val="1"/>
      <w:numFmt w:val="bullet"/>
      <w:lvlText w:val=""/>
      <w:lvlJc w:val="left"/>
      <w:pPr>
        <w:ind w:left="5880" w:hanging="360"/>
      </w:pPr>
      <w:rPr>
        <w:rFonts w:ascii="Symbol" w:hAnsi="Symbol" w:hint="default"/>
      </w:rPr>
    </w:lvl>
    <w:lvl w:ilvl="7" w:tplc="08090003">
      <w:start w:val="1"/>
      <w:numFmt w:val="bullet"/>
      <w:lvlText w:val="o"/>
      <w:lvlJc w:val="left"/>
      <w:pPr>
        <w:ind w:left="6600" w:hanging="360"/>
      </w:pPr>
      <w:rPr>
        <w:rFonts w:ascii="Courier New" w:hAnsi="Courier New" w:cs="Courier New" w:hint="default"/>
      </w:rPr>
    </w:lvl>
    <w:lvl w:ilvl="8" w:tplc="08090005">
      <w:start w:val="1"/>
      <w:numFmt w:val="bullet"/>
      <w:lvlText w:val=""/>
      <w:lvlJc w:val="left"/>
      <w:pPr>
        <w:ind w:left="7320" w:hanging="360"/>
      </w:pPr>
      <w:rPr>
        <w:rFonts w:ascii="Wingdings" w:hAnsi="Wingdings" w:hint="default"/>
      </w:rPr>
    </w:lvl>
  </w:abstractNum>
  <w:abstractNum w:abstractNumId="20" w15:restartNumberingAfterBreak="0">
    <w:nsid w:val="6C8740E6"/>
    <w:multiLevelType w:val="multilevel"/>
    <w:tmpl w:val="DF3CAE5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705966FA"/>
    <w:multiLevelType w:val="hybridMultilevel"/>
    <w:tmpl w:val="968265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582429A"/>
    <w:multiLevelType w:val="hybridMultilevel"/>
    <w:tmpl w:val="7E343878"/>
    <w:lvl w:ilvl="0" w:tplc="08090019">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77610BC3"/>
    <w:multiLevelType w:val="hybridMultilevel"/>
    <w:tmpl w:val="F58EDD8C"/>
    <w:lvl w:ilvl="0" w:tplc="0809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795922CF"/>
    <w:multiLevelType w:val="hybridMultilevel"/>
    <w:tmpl w:val="247627F8"/>
    <w:lvl w:ilvl="0" w:tplc="08090003">
      <w:start w:val="1"/>
      <w:numFmt w:val="bullet"/>
      <w:lvlText w:val="o"/>
      <w:lvlJc w:val="left"/>
      <w:pPr>
        <w:ind w:left="1446" w:hanging="360"/>
      </w:pPr>
      <w:rPr>
        <w:rFonts w:ascii="Courier New" w:hAnsi="Courier New" w:cs="Courier New"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5" w15:restartNumberingAfterBreak="0">
    <w:nsid w:val="7A887657"/>
    <w:multiLevelType w:val="hybridMultilevel"/>
    <w:tmpl w:val="5F4660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14"/>
  </w:num>
  <w:num w:numId="3">
    <w:abstractNumId w:val="21"/>
  </w:num>
  <w:num w:numId="4">
    <w:abstractNumId w:val="18"/>
  </w:num>
  <w:num w:numId="5">
    <w:abstractNumId w:val="9"/>
  </w:num>
  <w:num w:numId="6">
    <w:abstractNumId w:val="0"/>
  </w:num>
  <w:num w:numId="7">
    <w:abstractNumId w:val="3"/>
  </w:num>
  <w:num w:numId="8">
    <w:abstractNumId w:val="25"/>
  </w:num>
  <w:num w:numId="9">
    <w:abstractNumId w:val="8"/>
  </w:num>
  <w:num w:numId="10">
    <w:abstractNumId w:val="15"/>
  </w:num>
  <w:num w:numId="11">
    <w:abstractNumId w:val="22"/>
  </w:num>
  <w:num w:numId="12">
    <w:abstractNumId w:val="4"/>
  </w:num>
  <w:num w:numId="13">
    <w:abstractNumId w:val="2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2"/>
  </w:num>
  <w:num w:numId="18">
    <w:abstractNumId w:val="5"/>
  </w:num>
  <w:num w:numId="19">
    <w:abstractNumId w:val="24"/>
  </w:num>
  <w:num w:numId="20">
    <w:abstractNumId w:val="7"/>
  </w:num>
  <w:num w:numId="21">
    <w:abstractNumId w:val="19"/>
  </w:num>
  <w:num w:numId="22">
    <w:abstractNumId w:val="16"/>
  </w:num>
  <w:num w:numId="23">
    <w:abstractNumId w:val="6"/>
  </w:num>
  <w:num w:numId="24">
    <w:abstractNumId w:val="10"/>
  </w:num>
  <w:num w:numId="25">
    <w:abstractNumId w:val="17"/>
  </w:num>
  <w:num w:numId="2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D6"/>
    <w:rsid w:val="000025A9"/>
    <w:rsid w:val="000029FE"/>
    <w:rsid w:val="00003EBD"/>
    <w:rsid w:val="0000684F"/>
    <w:rsid w:val="00010BE5"/>
    <w:rsid w:val="00011317"/>
    <w:rsid w:val="00012551"/>
    <w:rsid w:val="00012D45"/>
    <w:rsid w:val="00012DD0"/>
    <w:rsid w:val="00013448"/>
    <w:rsid w:val="0001515C"/>
    <w:rsid w:val="000164D1"/>
    <w:rsid w:val="0001673F"/>
    <w:rsid w:val="000168D3"/>
    <w:rsid w:val="00016FBE"/>
    <w:rsid w:val="00020C59"/>
    <w:rsid w:val="000235DA"/>
    <w:rsid w:val="000243FD"/>
    <w:rsid w:val="000269E7"/>
    <w:rsid w:val="00026E61"/>
    <w:rsid w:val="00030749"/>
    <w:rsid w:val="00032329"/>
    <w:rsid w:val="00032CC0"/>
    <w:rsid w:val="00033C3C"/>
    <w:rsid w:val="00036698"/>
    <w:rsid w:val="00041B62"/>
    <w:rsid w:val="00044FAF"/>
    <w:rsid w:val="00046061"/>
    <w:rsid w:val="0005019C"/>
    <w:rsid w:val="00052653"/>
    <w:rsid w:val="00053F43"/>
    <w:rsid w:val="000540EC"/>
    <w:rsid w:val="00054773"/>
    <w:rsid w:val="0005770E"/>
    <w:rsid w:val="00062D1E"/>
    <w:rsid w:val="00063133"/>
    <w:rsid w:val="00064DC7"/>
    <w:rsid w:val="00065FBC"/>
    <w:rsid w:val="000661CF"/>
    <w:rsid w:val="00066758"/>
    <w:rsid w:val="00066B69"/>
    <w:rsid w:val="000708C4"/>
    <w:rsid w:val="000728AA"/>
    <w:rsid w:val="00073DC8"/>
    <w:rsid w:val="00075E03"/>
    <w:rsid w:val="00080FDE"/>
    <w:rsid w:val="0008249F"/>
    <w:rsid w:val="00082B70"/>
    <w:rsid w:val="000844C8"/>
    <w:rsid w:val="0008770E"/>
    <w:rsid w:val="00091CF9"/>
    <w:rsid w:val="00094A2F"/>
    <w:rsid w:val="00094E4A"/>
    <w:rsid w:val="00095A0F"/>
    <w:rsid w:val="000965A5"/>
    <w:rsid w:val="00096B7C"/>
    <w:rsid w:val="00097F38"/>
    <w:rsid w:val="000A21F5"/>
    <w:rsid w:val="000A2B91"/>
    <w:rsid w:val="000A356E"/>
    <w:rsid w:val="000A35F9"/>
    <w:rsid w:val="000A3C85"/>
    <w:rsid w:val="000A43BF"/>
    <w:rsid w:val="000A477A"/>
    <w:rsid w:val="000A57C8"/>
    <w:rsid w:val="000A7043"/>
    <w:rsid w:val="000B0139"/>
    <w:rsid w:val="000B0F17"/>
    <w:rsid w:val="000B1EA9"/>
    <w:rsid w:val="000B2653"/>
    <w:rsid w:val="000B4380"/>
    <w:rsid w:val="000B4D4F"/>
    <w:rsid w:val="000B4D9F"/>
    <w:rsid w:val="000C0B61"/>
    <w:rsid w:val="000C0EE2"/>
    <w:rsid w:val="000C13D6"/>
    <w:rsid w:val="000C215A"/>
    <w:rsid w:val="000C31CE"/>
    <w:rsid w:val="000C483F"/>
    <w:rsid w:val="000C5D3B"/>
    <w:rsid w:val="000C5EBE"/>
    <w:rsid w:val="000C5EDA"/>
    <w:rsid w:val="000C78B2"/>
    <w:rsid w:val="000D10CE"/>
    <w:rsid w:val="000D2C4A"/>
    <w:rsid w:val="000D341A"/>
    <w:rsid w:val="000D3519"/>
    <w:rsid w:val="000D3E2E"/>
    <w:rsid w:val="000D5D8B"/>
    <w:rsid w:val="000D61D4"/>
    <w:rsid w:val="000D6756"/>
    <w:rsid w:val="000DF06A"/>
    <w:rsid w:val="000E1217"/>
    <w:rsid w:val="000E1899"/>
    <w:rsid w:val="000E2C79"/>
    <w:rsid w:val="000E509E"/>
    <w:rsid w:val="000E668D"/>
    <w:rsid w:val="000E795A"/>
    <w:rsid w:val="000F09E7"/>
    <w:rsid w:val="000F0C97"/>
    <w:rsid w:val="000F3536"/>
    <w:rsid w:val="000F35B3"/>
    <w:rsid w:val="000F3A0C"/>
    <w:rsid w:val="000F499C"/>
    <w:rsid w:val="000F56AC"/>
    <w:rsid w:val="000F581B"/>
    <w:rsid w:val="000F5891"/>
    <w:rsid w:val="000F64B3"/>
    <w:rsid w:val="000F65AE"/>
    <w:rsid w:val="000F665E"/>
    <w:rsid w:val="000F717E"/>
    <w:rsid w:val="00100269"/>
    <w:rsid w:val="001003BB"/>
    <w:rsid w:val="00100D96"/>
    <w:rsid w:val="001011BD"/>
    <w:rsid w:val="00101512"/>
    <w:rsid w:val="00103EDA"/>
    <w:rsid w:val="0010444C"/>
    <w:rsid w:val="00106BD4"/>
    <w:rsid w:val="00107296"/>
    <w:rsid w:val="00107EA8"/>
    <w:rsid w:val="00110E82"/>
    <w:rsid w:val="00112D1A"/>
    <w:rsid w:val="00113A73"/>
    <w:rsid w:val="00113ED3"/>
    <w:rsid w:val="00114AF0"/>
    <w:rsid w:val="00115952"/>
    <w:rsid w:val="001165A6"/>
    <w:rsid w:val="00116825"/>
    <w:rsid w:val="00116FC8"/>
    <w:rsid w:val="001202CF"/>
    <w:rsid w:val="00120332"/>
    <w:rsid w:val="00123A4E"/>
    <w:rsid w:val="00125C0D"/>
    <w:rsid w:val="0012620F"/>
    <w:rsid w:val="00126432"/>
    <w:rsid w:val="001301F3"/>
    <w:rsid w:val="00131DAC"/>
    <w:rsid w:val="00132D23"/>
    <w:rsid w:val="00137E76"/>
    <w:rsid w:val="00141401"/>
    <w:rsid w:val="001455E7"/>
    <w:rsid w:val="00146C1C"/>
    <w:rsid w:val="00150687"/>
    <w:rsid w:val="00155519"/>
    <w:rsid w:val="0015628E"/>
    <w:rsid w:val="001562AC"/>
    <w:rsid w:val="001562E9"/>
    <w:rsid w:val="001566E7"/>
    <w:rsid w:val="0016077D"/>
    <w:rsid w:val="00160ED5"/>
    <w:rsid w:val="00164D62"/>
    <w:rsid w:val="00165500"/>
    <w:rsid w:val="00167ACC"/>
    <w:rsid w:val="001700F3"/>
    <w:rsid w:val="00170E34"/>
    <w:rsid w:val="00173260"/>
    <w:rsid w:val="00173E28"/>
    <w:rsid w:val="001743AF"/>
    <w:rsid w:val="00176522"/>
    <w:rsid w:val="00176723"/>
    <w:rsid w:val="001774A3"/>
    <w:rsid w:val="00180DB2"/>
    <w:rsid w:val="001822C3"/>
    <w:rsid w:val="0018277D"/>
    <w:rsid w:val="00183682"/>
    <w:rsid w:val="00184D44"/>
    <w:rsid w:val="00186ABD"/>
    <w:rsid w:val="00191840"/>
    <w:rsid w:val="00195FC4"/>
    <w:rsid w:val="0019652D"/>
    <w:rsid w:val="00197B3E"/>
    <w:rsid w:val="001A29EA"/>
    <w:rsid w:val="001A331B"/>
    <w:rsid w:val="001A334A"/>
    <w:rsid w:val="001A45CF"/>
    <w:rsid w:val="001A4C6D"/>
    <w:rsid w:val="001A6987"/>
    <w:rsid w:val="001A7BFA"/>
    <w:rsid w:val="001A7D83"/>
    <w:rsid w:val="001B38F4"/>
    <w:rsid w:val="001B42D8"/>
    <w:rsid w:val="001B545F"/>
    <w:rsid w:val="001B6C33"/>
    <w:rsid w:val="001B7D8A"/>
    <w:rsid w:val="001C0093"/>
    <w:rsid w:val="001C2940"/>
    <w:rsid w:val="001C33F8"/>
    <w:rsid w:val="001C4381"/>
    <w:rsid w:val="001C66A4"/>
    <w:rsid w:val="001D1F6F"/>
    <w:rsid w:val="001D2148"/>
    <w:rsid w:val="001D3665"/>
    <w:rsid w:val="001D40DB"/>
    <w:rsid w:val="001D51F2"/>
    <w:rsid w:val="001D67FE"/>
    <w:rsid w:val="001D698E"/>
    <w:rsid w:val="001D72B6"/>
    <w:rsid w:val="001E0B28"/>
    <w:rsid w:val="001E0E6A"/>
    <w:rsid w:val="001E1560"/>
    <w:rsid w:val="001E2421"/>
    <w:rsid w:val="001E282E"/>
    <w:rsid w:val="001E29DB"/>
    <w:rsid w:val="001E341A"/>
    <w:rsid w:val="001E4CD4"/>
    <w:rsid w:val="001E52D5"/>
    <w:rsid w:val="001E7453"/>
    <w:rsid w:val="001E7A46"/>
    <w:rsid w:val="001F00ED"/>
    <w:rsid w:val="001F19D7"/>
    <w:rsid w:val="001F31D6"/>
    <w:rsid w:val="001F4386"/>
    <w:rsid w:val="001F5206"/>
    <w:rsid w:val="001F5284"/>
    <w:rsid w:val="001F6561"/>
    <w:rsid w:val="0020011D"/>
    <w:rsid w:val="0020215B"/>
    <w:rsid w:val="002034B3"/>
    <w:rsid w:val="002039AB"/>
    <w:rsid w:val="00204075"/>
    <w:rsid w:val="0020509D"/>
    <w:rsid w:val="00205A92"/>
    <w:rsid w:val="00205B4F"/>
    <w:rsid w:val="002062D1"/>
    <w:rsid w:val="00206C11"/>
    <w:rsid w:val="00207A7D"/>
    <w:rsid w:val="002136AE"/>
    <w:rsid w:val="00216A3E"/>
    <w:rsid w:val="0021760C"/>
    <w:rsid w:val="0022222C"/>
    <w:rsid w:val="002224F0"/>
    <w:rsid w:val="00223A6B"/>
    <w:rsid w:val="0022455D"/>
    <w:rsid w:val="00224C56"/>
    <w:rsid w:val="002253B2"/>
    <w:rsid w:val="00227C7C"/>
    <w:rsid w:val="002310AF"/>
    <w:rsid w:val="0023135A"/>
    <w:rsid w:val="002313D2"/>
    <w:rsid w:val="002330DE"/>
    <w:rsid w:val="00233550"/>
    <w:rsid w:val="002353DE"/>
    <w:rsid w:val="00237960"/>
    <w:rsid w:val="00240422"/>
    <w:rsid w:val="00240666"/>
    <w:rsid w:val="002416CA"/>
    <w:rsid w:val="002418B9"/>
    <w:rsid w:val="00241918"/>
    <w:rsid w:val="00241E29"/>
    <w:rsid w:val="0024222B"/>
    <w:rsid w:val="00245E9F"/>
    <w:rsid w:val="00246DD1"/>
    <w:rsid w:val="00247EE1"/>
    <w:rsid w:val="00251C7F"/>
    <w:rsid w:val="002529F5"/>
    <w:rsid w:val="0025320D"/>
    <w:rsid w:val="002534A7"/>
    <w:rsid w:val="002552A4"/>
    <w:rsid w:val="002555DB"/>
    <w:rsid w:val="00260001"/>
    <w:rsid w:val="002626B3"/>
    <w:rsid w:val="002630C9"/>
    <w:rsid w:val="0026330A"/>
    <w:rsid w:val="00263F78"/>
    <w:rsid w:val="00264B4B"/>
    <w:rsid w:val="00266321"/>
    <w:rsid w:val="00271247"/>
    <w:rsid w:val="00271255"/>
    <w:rsid w:val="0027289E"/>
    <w:rsid w:val="0027373D"/>
    <w:rsid w:val="002744D8"/>
    <w:rsid w:val="002747EA"/>
    <w:rsid w:val="002765C0"/>
    <w:rsid w:val="0027690D"/>
    <w:rsid w:val="00277945"/>
    <w:rsid w:val="002802A7"/>
    <w:rsid w:val="00282235"/>
    <w:rsid w:val="00283A58"/>
    <w:rsid w:val="00284269"/>
    <w:rsid w:val="0028692E"/>
    <w:rsid w:val="0028779D"/>
    <w:rsid w:val="002900BE"/>
    <w:rsid w:val="00290A2B"/>
    <w:rsid w:val="00290A37"/>
    <w:rsid w:val="002915FD"/>
    <w:rsid w:val="00291929"/>
    <w:rsid w:val="00292647"/>
    <w:rsid w:val="00294BCC"/>
    <w:rsid w:val="002950CC"/>
    <w:rsid w:val="00295A60"/>
    <w:rsid w:val="00296B25"/>
    <w:rsid w:val="00297784"/>
    <w:rsid w:val="002977D6"/>
    <w:rsid w:val="00297D36"/>
    <w:rsid w:val="002A0390"/>
    <w:rsid w:val="002A08F8"/>
    <w:rsid w:val="002A102D"/>
    <w:rsid w:val="002A2DB8"/>
    <w:rsid w:val="002A34B0"/>
    <w:rsid w:val="002A3B1E"/>
    <w:rsid w:val="002A5E32"/>
    <w:rsid w:val="002A6EF5"/>
    <w:rsid w:val="002B284E"/>
    <w:rsid w:val="002B3977"/>
    <w:rsid w:val="002B397F"/>
    <w:rsid w:val="002B412D"/>
    <w:rsid w:val="002B4231"/>
    <w:rsid w:val="002B5754"/>
    <w:rsid w:val="002B77AB"/>
    <w:rsid w:val="002C0F0E"/>
    <w:rsid w:val="002C12D5"/>
    <w:rsid w:val="002C1655"/>
    <w:rsid w:val="002C1A11"/>
    <w:rsid w:val="002C23B0"/>
    <w:rsid w:val="002C2D1E"/>
    <w:rsid w:val="002C2F09"/>
    <w:rsid w:val="002C3805"/>
    <w:rsid w:val="002C4A3F"/>
    <w:rsid w:val="002C59CA"/>
    <w:rsid w:val="002C6165"/>
    <w:rsid w:val="002C7C8C"/>
    <w:rsid w:val="002D0A58"/>
    <w:rsid w:val="002D43DB"/>
    <w:rsid w:val="002D45D5"/>
    <w:rsid w:val="002D7132"/>
    <w:rsid w:val="002D7BE3"/>
    <w:rsid w:val="002E00C4"/>
    <w:rsid w:val="002E21DF"/>
    <w:rsid w:val="002E3580"/>
    <w:rsid w:val="002E364E"/>
    <w:rsid w:val="002E724D"/>
    <w:rsid w:val="002E774A"/>
    <w:rsid w:val="002E7A39"/>
    <w:rsid w:val="002E7E50"/>
    <w:rsid w:val="002E7F87"/>
    <w:rsid w:val="002F0364"/>
    <w:rsid w:val="002F0A22"/>
    <w:rsid w:val="002F3787"/>
    <w:rsid w:val="002F3E19"/>
    <w:rsid w:val="002F4A3E"/>
    <w:rsid w:val="002F5311"/>
    <w:rsid w:val="002F53EA"/>
    <w:rsid w:val="002F7699"/>
    <w:rsid w:val="002F7B0D"/>
    <w:rsid w:val="003017F0"/>
    <w:rsid w:val="00302807"/>
    <w:rsid w:val="00302EBC"/>
    <w:rsid w:val="0030304B"/>
    <w:rsid w:val="0030376D"/>
    <w:rsid w:val="00304C87"/>
    <w:rsid w:val="00310C37"/>
    <w:rsid w:val="00312C5C"/>
    <w:rsid w:val="003130E2"/>
    <w:rsid w:val="00313F3C"/>
    <w:rsid w:val="00314270"/>
    <w:rsid w:val="003150E7"/>
    <w:rsid w:val="00315313"/>
    <w:rsid w:val="00316913"/>
    <w:rsid w:val="003222B3"/>
    <w:rsid w:val="00323250"/>
    <w:rsid w:val="00324533"/>
    <w:rsid w:val="00325215"/>
    <w:rsid w:val="00332D72"/>
    <w:rsid w:val="00333AB9"/>
    <w:rsid w:val="00334DD5"/>
    <w:rsid w:val="0033580E"/>
    <w:rsid w:val="00336C8B"/>
    <w:rsid w:val="00337546"/>
    <w:rsid w:val="0034297B"/>
    <w:rsid w:val="00343983"/>
    <w:rsid w:val="00347458"/>
    <w:rsid w:val="0034748A"/>
    <w:rsid w:val="00347C1E"/>
    <w:rsid w:val="0035086A"/>
    <w:rsid w:val="003521B3"/>
    <w:rsid w:val="00352656"/>
    <w:rsid w:val="00353300"/>
    <w:rsid w:val="00353613"/>
    <w:rsid w:val="003560E6"/>
    <w:rsid w:val="00356159"/>
    <w:rsid w:val="003570AB"/>
    <w:rsid w:val="00357E6D"/>
    <w:rsid w:val="00360528"/>
    <w:rsid w:val="003615E6"/>
    <w:rsid w:val="0036163C"/>
    <w:rsid w:val="00367B4E"/>
    <w:rsid w:val="00370C5A"/>
    <w:rsid w:val="00370F20"/>
    <w:rsid w:val="003721C8"/>
    <w:rsid w:val="0037311B"/>
    <w:rsid w:val="0037345F"/>
    <w:rsid w:val="003738CB"/>
    <w:rsid w:val="00377226"/>
    <w:rsid w:val="00377263"/>
    <w:rsid w:val="00380036"/>
    <w:rsid w:val="00380EC2"/>
    <w:rsid w:val="0038103B"/>
    <w:rsid w:val="003855D6"/>
    <w:rsid w:val="00385B4E"/>
    <w:rsid w:val="00386C65"/>
    <w:rsid w:val="00386F53"/>
    <w:rsid w:val="003874B1"/>
    <w:rsid w:val="00387AD9"/>
    <w:rsid w:val="003908C0"/>
    <w:rsid w:val="00392B20"/>
    <w:rsid w:val="00393030"/>
    <w:rsid w:val="0039332A"/>
    <w:rsid w:val="0039448E"/>
    <w:rsid w:val="0039488F"/>
    <w:rsid w:val="0039573E"/>
    <w:rsid w:val="00395D90"/>
    <w:rsid w:val="00397731"/>
    <w:rsid w:val="003979FB"/>
    <w:rsid w:val="003A2CB0"/>
    <w:rsid w:val="003A783B"/>
    <w:rsid w:val="003B3C0A"/>
    <w:rsid w:val="003B596C"/>
    <w:rsid w:val="003B68AE"/>
    <w:rsid w:val="003B6E7F"/>
    <w:rsid w:val="003B6FCA"/>
    <w:rsid w:val="003B73AC"/>
    <w:rsid w:val="003C2190"/>
    <w:rsid w:val="003C3B19"/>
    <w:rsid w:val="003C3CA4"/>
    <w:rsid w:val="003C3F59"/>
    <w:rsid w:val="003C4185"/>
    <w:rsid w:val="003C53BE"/>
    <w:rsid w:val="003C723A"/>
    <w:rsid w:val="003D2DF1"/>
    <w:rsid w:val="003D31C2"/>
    <w:rsid w:val="003D36FE"/>
    <w:rsid w:val="003D3738"/>
    <w:rsid w:val="003D5EEB"/>
    <w:rsid w:val="003D6B12"/>
    <w:rsid w:val="003D7674"/>
    <w:rsid w:val="003D78F6"/>
    <w:rsid w:val="003E1624"/>
    <w:rsid w:val="003E2270"/>
    <w:rsid w:val="003E253A"/>
    <w:rsid w:val="003E3967"/>
    <w:rsid w:val="003E3A06"/>
    <w:rsid w:val="003E4FE4"/>
    <w:rsid w:val="003F00FA"/>
    <w:rsid w:val="003F135F"/>
    <w:rsid w:val="003F382E"/>
    <w:rsid w:val="003F426A"/>
    <w:rsid w:val="003F4A5F"/>
    <w:rsid w:val="003F4AB4"/>
    <w:rsid w:val="003F5122"/>
    <w:rsid w:val="00400613"/>
    <w:rsid w:val="00400F68"/>
    <w:rsid w:val="0040154C"/>
    <w:rsid w:val="00402E49"/>
    <w:rsid w:val="0040369D"/>
    <w:rsid w:val="004053F6"/>
    <w:rsid w:val="00410C2B"/>
    <w:rsid w:val="004111D9"/>
    <w:rsid w:val="004124D4"/>
    <w:rsid w:val="00412D87"/>
    <w:rsid w:val="00413473"/>
    <w:rsid w:val="00415D3E"/>
    <w:rsid w:val="00415DAA"/>
    <w:rsid w:val="00416055"/>
    <w:rsid w:val="004166BF"/>
    <w:rsid w:val="004169ED"/>
    <w:rsid w:val="004175AB"/>
    <w:rsid w:val="00421758"/>
    <w:rsid w:val="00422A09"/>
    <w:rsid w:val="00423BBC"/>
    <w:rsid w:val="00425094"/>
    <w:rsid w:val="004255E0"/>
    <w:rsid w:val="0042564D"/>
    <w:rsid w:val="00427996"/>
    <w:rsid w:val="00430476"/>
    <w:rsid w:val="00431463"/>
    <w:rsid w:val="00432050"/>
    <w:rsid w:val="00433DD2"/>
    <w:rsid w:val="00433EBB"/>
    <w:rsid w:val="00434C11"/>
    <w:rsid w:val="0043546D"/>
    <w:rsid w:val="00441A2B"/>
    <w:rsid w:val="00444108"/>
    <w:rsid w:val="004449F0"/>
    <w:rsid w:val="00445C62"/>
    <w:rsid w:val="004465ED"/>
    <w:rsid w:val="00447899"/>
    <w:rsid w:val="00447DB2"/>
    <w:rsid w:val="00450EE7"/>
    <w:rsid w:val="00452153"/>
    <w:rsid w:val="004547CA"/>
    <w:rsid w:val="00455564"/>
    <w:rsid w:val="0045592D"/>
    <w:rsid w:val="00455DA7"/>
    <w:rsid w:val="004604B3"/>
    <w:rsid w:val="00462114"/>
    <w:rsid w:val="00464390"/>
    <w:rsid w:val="004647D7"/>
    <w:rsid w:val="00464FDC"/>
    <w:rsid w:val="0046591C"/>
    <w:rsid w:val="00466121"/>
    <w:rsid w:val="004671AC"/>
    <w:rsid w:val="0046728D"/>
    <w:rsid w:val="00471BAC"/>
    <w:rsid w:val="00471D8A"/>
    <w:rsid w:val="00473079"/>
    <w:rsid w:val="0047454C"/>
    <w:rsid w:val="0047582F"/>
    <w:rsid w:val="004777A5"/>
    <w:rsid w:val="00480229"/>
    <w:rsid w:val="00481014"/>
    <w:rsid w:val="00481A7A"/>
    <w:rsid w:val="00481AE7"/>
    <w:rsid w:val="00482078"/>
    <w:rsid w:val="00483444"/>
    <w:rsid w:val="0048449E"/>
    <w:rsid w:val="00484BEF"/>
    <w:rsid w:val="00486116"/>
    <w:rsid w:val="00486170"/>
    <w:rsid w:val="00486544"/>
    <w:rsid w:val="00486C28"/>
    <w:rsid w:val="00487AE0"/>
    <w:rsid w:val="0049070E"/>
    <w:rsid w:val="00491009"/>
    <w:rsid w:val="0049216A"/>
    <w:rsid w:val="00494CA9"/>
    <w:rsid w:val="00495690"/>
    <w:rsid w:val="00495805"/>
    <w:rsid w:val="00495A26"/>
    <w:rsid w:val="00495D82"/>
    <w:rsid w:val="00497A35"/>
    <w:rsid w:val="004A1284"/>
    <w:rsid w:val="004A2CFB"/>
    <w:rsid w:val="004A37F9"/>
    <w:rsid w:val="004A3C96"/>
    <w:rsid w:val="004A6545"/>
    <w:rsid w:val="004A7307"/>
    <w:rsid w:val="004A74AF"/>
    <w:rsid w:val="004B0EB0"/>
    <w:rsid w:val="004B20B2"/>
    <w:rsid w:val="004B35FA"/>
    <w:rsid w:val="004B371D"/>
    <w:rsid w:val="004B3E1F"/>
    <w:rsid w:val="004B4BE3"/>
    <w:rsid w:val="004B5B08"/>
    <w:rsid w:val="004B74C6"/>
    <w:rsid w:val="004C0CF5"/>
    <w:rsid w:val="004C3182"/>
    <w:rsid w:val="004C3731"/>
    <w:rsid w:val="004C40D1"/>
    <w:rsid w:val="004C410B"/>
    <w:rsid w:val="004C5899"/>
    <w:rsid w:val="004D2217"/>
    <w:rsid w:val="004D382B"/>
    <w:rsid w:val="004D38FD"/>
    <w:rsid w:val="004D3FB3"/>
    <w:rsid w:val="004D411E"/>
    <w:rsid w:val="004D488D"/>
    <w:rsid w:val="004D4D49"/>
    <w:rsid w:val="004D5F3C"/>
    <w:rsid w:val="004D5F6C"/>
    <w:rsid w:val="004D6572"/>
    <w:rsid w:val="004D6D56"/>
    <w:rsid w:val="004D744C"/>
    <w:rsid w:val="004D7919"/>
    <w:rsid w:val="004D79F6"/>
    <w:rsid w:val="004E0A2F"/>
    <w:rsid w:val="004E3890"/>
    <w:rsid w:val="004E4261"/>
    <w:rsid w:val="004E55B4"/>
    <w:rsid w:val="004E587E"/>
    <w:rsid w:val="004E6DF9"/>
    <w:rsid w:val="004E7169"/>
    <w:rsid w:val="004F09C2"/>
    <w:rsid w:val="004F2171"/>
    <w:rsid w:val="004F26C8"/>
    <w:rsid w:val="004F3415"/>
    <w:rsid w:val="004F4D83"/>
    <w:rsid w:val="004F51ED"/>
    <w:rsid w:val="004F6EEB"/>
    <w:rsid w:val="00500245"/>
    <w:rsid w:val="005039F2"/>
    <w:rsid w:val="00504639"/>
    <w:rsid w:val="0050628D"/>
    <w:rsid w:val="00507B7A"/>
    <w:rsid w:val="00510A52"/>
    <w:rsid w:val="0051128F"/>
    <w:rsid w:val="00512048"/>
    <w:rsid w:val="005120E6"/>
    <w:rsid w:val="00512273"/>
    <w:rsid w:val="005132A3"/>
    <w:rsid w:val="00514698"/>
    <w:rsid w:val="00514F09"/>
    <w:rsid w:val="005152D3"/>
    <w:rsid w:val="00516BD5"/>
    <w:rsid w:val="00517CA5"/>
    <w:rsid w:val="005200DF"/>
    <w:rsid w:val="0052068D"/>
    <w:rsid w:val="005235C6"/>
    <w:rsid w:val="005254D0"/>
    <w:rsid w:val="00526150"/>
    <w:rsid w:val="00526C83"/>
    <w:rsid w:val="00527689"/>
    <w:rsid w:val="00527D02"/>
    <w:rsid w:val="00530472"/>
    <w:rsid w:val="0053060F"/>
    <w:rsid w:val="00531B3F"/>
    <w:rsid w:val="005322C6"/>
    <w:rsid w:val="005337B2"/>
    <w:rsid w:val="00535AFC"/>
    <w:rsid w:val="0054051E"/>
    <w:rsid w:val="005405EC"/>
    <w:rsid w:val="005425AC"/>
    <w:rsid w:val="005441BD"/>
    <w:rsid w:val="0054587F"/>
    <w:rsid w:val="00546786"/>
    <w:rsid w:val="00554F21"/>
    <w:rsid w:val="005553C2"/>
    <w:rsid w:val="005601A0"/>
    <w:rsid w:val="0056035B"/>
    <w:rsid w:val="00562172"/>
    <w:rsid w:val="00563D37"/>
    <w:rsid w:val="005641B0"/>
    <w:rsid w:val="00565010"/>
    <w:rsid w:val="00565EF8"/>
    <w:rsid w:val="005725A6"/>
    <w:rsid w:val="00573075"/>
    <w:rsid w:val="0057464A"/>
    <w:rsid w:val="00574752"/>
    <w:rsid w:val="00574F6C"/>
    <w:rsid w:val="00574FEF"/>
    <w:rsid w:val="00575827"/>
    <w:rsid w:val="00577F30"/>
    <w:rsid w:val="005826ED"/>
    <w:rsid w:val="00583F9A"/>
    <w:rsid w:val="0058491A"/>
    <w:rsid w:val="00586B1E"/>
    <w:rsid w:val="00587227"/>
    <w:rsid w:val="00590F6D"/>
    <w:rsid w:val="005914D7"/>
    <w:rsid w:val="00591A84"/>
    <w:rsid w:val="005924E8"/>
    <w:rsid w:val="005928B5"/>
    <w:rsid w:val="0059332A"/>
    <w:rsid w:val="00595209"/>
    <w:rsid w:val="005957D9"/>
    <w:rsid w:val="005961BE"/>
    <w:rsid w:val="005968D6"/>
    <w:rsid w:val="00597977"/>
    <w:rsid w:val="00597EA8"/>
    <w:rsid w:val="005A033C"/>
    <w:rsid w:val="005A0BA4"/>
    <w:rsid w:val="005A1C50"/>
    <w:rsid w:val="005A25E8"/>
    <w:rsid w:val="005A279B"/>
    <w:rsid w:val="005A3691"/>
    <w:rsid w:val="005A3E1C"/>
    <w:rsid w:val="005A6ADF"/>
    <w:rsid w:val="005A6BE9"/>
    <w:rsid w:val="005A78E8"/>
    <w:rsid w:val="005B09FC"/>
    <w:rsid w:val="005B11B0"/>
    <w:rsid w:val="005B2537"/>
    <w:rsid w:val="005B254C"/>
    <w:rsid w:val="005B2F47"/>
    <w:rsid w:val="005B3C68"/>
    <w:rsid w:val="005B54E4"/>
    <w:rsid w:val="005B57C4"/>
    <w:rsid w:val="005B606E"/>
    <w:rsid w:val="005B712A"/>
    <w:rsid w:val="005C051A"/>
    <w:rsid w:val="005C069A"/>
    <w:rsid w:val="005C1159"/>
    <w:rsid w:val="005C164C"/>
    <w:rsid w:val="005C1F5E"/>
    <w:rsid w:val="005C30DF"/>
    <w:rsid w:val="005C30E8"/>
    <w:rsid w:val="005C336A"/>
    <w:rsid w:val="005C37B0"/>
    <w:rsid w:val="005C41A0"/>
    <w:rsid w:val="005C49A2"/>
    <w:rsid w:val="005C5EE5"/>
    <w:rsid w:val="005C5F36"/>
    <w:rsid w:val="005D0050"/>
    <w:rsid w:val="005D0392"/>
    <w:rsid w:val="005D3C3E"/>
    <w:rsid w:val="005D5EB4"/>
    <w:rsid w:val="005D7CF5"/>
    <w:rsid w:val="005E25B6"/>
    <w:rsid w:val="005E41F2"/>
    <w:rsid w:val="005E4499"/>
    <w:rsid w:val="005E48E9"/>
    <w:rsid w:val="005E4901"/>
    <w:rsid w:val="005E5480"/>
    <w:rsid w:val="005E7C05"/>
    <w:rsid w:val="005F0A04"/>
    <w:rsid w:val="005F0C28"/>
    <w:rsid w:val="005F1C91"/>
    <w:rsid w:val="005F4A99"/>
    <w:rsid w:val="005F5393"/>
    <w:rsid w:val="005F5698"/>
    <w:rsid w:val="005F79A5"/>
    <w:rsid w:val="005F7E1F"/>
    <w:rsid w:val="00600C19"/>
    <w:rsid w:val="00602158"/>
    <w:rsid w:val="00602CE7"/>
    <w:rsid w:val="006040F6"/>
    <w:rsid w:val="00604E19"/>
    <w:rsid w:val="0060678B"/>
    <w:rsid w:val="00607951"/>
    <w:rsid w:val="00607F69"/>
    <w:rsid w:val="00610B9F"/>
    <w:rsid w:val="00610BB5"/>
    <w:rsid w:val="0061169A"/>
    <w:rsid w:val="00612A64"/>
    <w:rsid w:val="006149BE"/>
    <w:rsid w:val="00614B42"/>
    <w:rsid w:val="006153B8"/>
    <w:rsid w:val="00617299"/>
    <w:rsid w:val="00617477"/>
    <w:rsid w:val="00617E69"/>
    <w:rsid w:val="00617F63"/>
    <w:rsid w:val="006218AC"/>
    <w:rsid w:val="0062210E"/>
    <w:rsid w:val="006254E5"/>
    <w:rsid w:val="006258C4"/>
    <w:rsid w:val="006303C3"/>
    <w:rsid w:val="00632155"/>
    <w:rsid w:val="006327C1"/>
    <w:rsid w:val="00632C31"/>
    <w:rsid w:val="00632F7A"/>
    <w:rsid w:val="00634E02"/>
    <w:rsid w:val="006352E4"/>
    <w:rsid w:val="00635D66"/>
    <w:rsid w:val="00637B23"/>
    <w:rsid w:val="00641C64"/>
    <w:rsid w:val="0064262B"/>
    <w:rsid w:val="0064331C"/>
    <w:rsid w:val="006437FF"/>
    <w:rsid w:val="00643B27"/>
    <w:rsid w:val="00646078"/>
    <w:rsid w:val="006469A1"/>
    <w:rsid w:val="00646B4F"/>
    <w:rsid w:val="00647172"/>
    <w:rsid w:val="00647867"/>
    <w:rsid w:val="00647CFB"/>
    <w:rsid w:val="00650699"/>
    <w:rsid w:val="00650DC1"/>
    <w:rsid w:val="0065136D"/>
    <w:rsid w:val="00653396"/>
    <w:rsid w:val="00654338"/>
    <w:rsid w:val="006556AF"/>
    <w:rsid w:val="00656C6A"/>
    <w:rsid w:val="00657A3B"/>
    <w:rsid w:val="0066088D"/>
    <w:rsid w:val="00661A6F"/>
    <w:rsid w:val="00663B92"/>
    <w:rsid w:val="00664694"/>
    <w:rsid w:val="00665A12"/>
    <w:rsid w:val="00665C87"/>
    <w:rsid w:val="006668DA"/>
    <w:rsid w:val="006674D8"/>
    <w:rsid w:val="00667694"/>
    <w:rsid w:val="00670CAB"/>
    <w:rsid w:val="00674C63"/>
    <w:rsid w:val="00674F13"/>
    <w:rsid w:val="00674F22"/>
    <w:rsid w:val="006802EB"/>
    <w:rsid w:val="00682393"/>
    <w:rsid w:val="006823D1"/>
    <w:rsid w:val="006839DC"/>
    <w:rsid w:val="006843EC"/>
    <w:rsid w:val="00687DEB"/>
    <w:rsid w:val="00692671"/>
    <w:rsid w:val="00692CE9"/>
    <w:rsid w:val="0069300C"/>
    <w:rsid w:val="0069324D"/>
    <w:rsid w:val="00693A05"/>
    <w:rsid w:val="00693C71"/>
    <w:rsid w:val="0069467A"/>
    <w:rsid w:val="006949E1"/>
    <w:rsid w:val="00697A35"/>
    <w:rsid w:val="006A3D6C"/>
    <w:rsid w:val="006A3F41"/>
    <w:rsid w:val="006A4E51"/>
    <w:rsid w:val="006A520E"/>
    <w:rsid w:val="006A6378"/>
    <w:rsid w:val="006A6383"/>
    <w:rsid w:val="006A6F33"/>
    <w:rsid w:val="006B0F7A"/>
    <w:rsid w:val="006B29A2"/>
    <w:rsid w:val="006B5128"/>
    <w:rsid w:val="006B5F35"/>
    <w:rsid w:val="006C320E"/>
    <w:rsid w:val="006C378C"/>
    <w:rsid w:val="006C3E34"/>
    <w:rsid w:val="006C44D8"/>
    <w:rsid w:val="006C484D"/>
    <w:rsid w:val="006C4D5F"/>
    <w:rsid w:val="006C4DEF"/>
    <w:rsid w:val="006C77CC"/>
    <w:rsid w:val="006D0B27"/>
    <w:rsid w:val="006D2204"/>
    <w:rsid w:val="006E0B44"/>
    <w:rsid w:val="006E1D53"/>
    <w:rsid w:val="006E2409"/>
    <w:rsid w:val="006E2D02"/>
    <w:rsid w:val="006E40A6"/>
    <w:rsid w:val="006E4962"/>
    <w:rsid w:val="006E63D1"/>
    <w:rsid w:val="006E692F"/>
    <w:rsid w:val="006E6E7F"/>
    <w:rsid w:val="006E7223"/>
    <w:rsid w:val="006E72AC"/>
    <w:rsid w:val="006F025F"/>
    <w:rsid w:val="006F04AF"/>
    <w:rsid w:val="006F290F"/>
    <w:rsid w:val="006F34B2"/>
    <w:rsid w:val="006F3A21"/>
    <w:rsid w:val="006F4961"/>
    <w:rsid w:val="00700326"/>
    <w:rsid w:val="00700B86"/>
    <w:rsid w:val="00700D3A"/>
    <w:rsid w:val="00701DF8"/>
    <w:rsid w:val="007020F0"/>
    <w:rsid w:val="00702AB7"/>
    <w:rsid w:val="007034A9"/>
    <w:rsid w:val="0070496A"/>
    <w:rsid w:val="007069DB"/>
    <w:rsid w:val="00707464"/>
    <w:rsid w:val="00710275"/>
    <w:rsid w:val="007107D4"/>
    <w:rsid w:val="007122FA"/>
    <w:rsid w:val="00713284"/>
    <w:rsid w:val="00713DA0"/>
    <w:rsid w:val="00716186"/>
    <w:rsid w:val="007169E5"/>
    <w:rsid w:val="00717F64"/>
    <w:rsid w:val="00720786"/>
    <w:rsid w:val="00721B86"/>
    <w:rsid w:val="00722A31"/>
    <w:rsid w:val="00723927"/>
    <w:rsid w:val="007253F1"/>
    <w:rsid w:val="00730223"/>
    <w:rsid w:val="00731546"/>
    <w:rsid w:val="00736604"/>
    <w:rsid w:val="007367CF"/>
    <w:rsid w:val="00736B94"/>
    <w:rsid w:val="007376B1"/>
    <w:rsid w:val="007412F7"/>
    <w:rsid w:val="0074137A"/>
    <w:rsid w:val="0074211B"/>
    <w:rsid w:val="007439C5"/>
    <w:rsid w:val="00744A1A"/>
    <w:rsid w:val="00746712"/>
    <w:rsid w:val="0075190C"/>
    <w:rsid w:val="00752426"/>
    <w:rsid w:val="007539AD"/>
    <w:rsid w:val="00754794"/>
    <w:rsid w:val="007567BE"/>
    <w:rsid w:val="00757885"/>
    <w:rsid w:val="007619F1"/>
    <w:rsid w:val="007620F2"/>
    <w:rsid w:val="007621B4"/>
    <w:rsid w:val="00764435"/>
    <w:rsid w:val="0076484B"/>
    <w:rsid w:val="00764F82"/>
    <w:rsid w:val="00765A92"/>
    <w:rsid w:val="0076728C"/>
    <w:rsid w:val="00771DC9"/>
    <w:rsid w:val="00772597"/>
    <w:rsid w:val="00772FFF"/>
    <w:rsid w:val="00774DAD"/>
    <w:rsid w:val="00776C06"/>
    <w:rsid w:val="00776C1A"/>
    <w:rsid w:val="007776F2"/>
    <w:rsid w:val="00780D29"/>
    <w:rsid w:val="007815CF"/>
    <w:rsid w:val="00782F57"/>
    <w:rsid w:val="00785E07"/>
    <w:rsid w:val="00786A83"/>
    <w:rsid w:val="00787409"/>
    <w:rsid w:val="00790262"/>
    <w:rsid w:val="007907FD"/>
    <w:rsid w:val="00791471"/>
    <w:rsid w:val="00791954"/>
    <w:rsid w:val="00791C95"/>
    <w:rsid w:val="007922CB"/>
    <w:rsid w:val="007939CF"/>
    <w:rsid w:val="00797049"/>
    <w:rsid w:val="00797AF7"/>
    <w:rsid w:val="007A012E"/>
    <w:rsid w:val="007A0281"/>
    <w:rsid w:val="007A216A"/>
    <w:rsid w:val="007A2235"/>
    <w:rsid w:val="007A4A32"/>
    <w:rsid w:val="007A5A81"/>
    <w:rsid w:val="007A5DE0"/>
    <w:rsid w:val="007B0B4E"/>
    <w:rsid w:val="007B0D2A"/>
    <w:rsid w:val="007B0F8E"/>
    <w:rsid w:val="007B1514"/>
    <w:rsid w:val="007B1B6B"/>
    <w:rsid w:val="007B2AD6"/>
    <w:rsid w:val="007B3192"/>
    <w:rsid w:val="007B39FD"/>
    <w:rsid w:val="007B5039"/>
    <w:rsid w:val="007B6781"/>
    <w:rsid w:val="007B7298"/>
    <w:rsid w:val="007B7615"/>
    <w:rsid w:val="007C0663"/>
    <w:rsid w:val="007C0EBC"/>
    <w:rsid w:val="007C15D1"/>
    <w:rsid w:val="007C2A2E"/>
    <w:rsid w:val="007C36F1"/>
    <w:rsid w:val="007C4A8C"/>
    <w:rsid w:val="007C5FF1"/>
    <w:rsid w:val="007C77F7"/>
    <w:rsid w:val="007D0631"/>
    <w:rsid w:val="007D0A58"/>
    <w:rsid w:val="007D127F"/>
    <w:rsid w:val="007D1C96"/>
    <w:rsid w:val="007D20EA"/>
    <w:rsid w:val="007D3449"/>
    <w:rsid w:val="007D361E"/>
    <w:rsid w:val="007D55A6"/>
    <w:rsid w:val="007D6428"/>
    <w:rsid w:val="007D6475"/>
    <w:rsid w:val="007D749C"/>
    <w:rsid w:val="007D7E0B"/>
    <w:rsid w:val="007E1B6A"/>
    <w:rsid w:val="007E2A4C"/>
    <w:rsid w:val="007E3019"/>
    <w:rsid w:val="007E3D6F"/>
    <w:rsid w:val="007E3F0B"/>
    <w:rsid w:val="007E50E5"/>
    <w:rsid w:val="007E5F6C"/>
    <w:rsid w:val="007F06B5"/>
    <w:rsid w:val="007F0A42"/>
    <w:rsid w:val="007F112D"/>
    <w:rsid w:val="007F1AC6"/>
    <w:rsid w:val="007F2060"/>
    <w:rsid w:val="007F3EF9"/>
    <w:rsid w:val="007F3FC8"/>
    <w:rsid w:val="007F46F7"/>
    <w:rsid w:val="007F4E62"/>
    <w:rsid w:val="007F5E48"/>
    <w:rsid w:val="007F6168"/>
    <w:rsid w:val="008018BD"/>
    <w:rsid w:val="008064F4"/>
    <w:rsid w:val="00806838"/>
    <w:rsid w:val="008072C2"/>
    <w:rsid w:val="00807343"/>
    <w:rsid w:val="00807666"/>
    <w:rsid w:val="008079DA"/>
    <w:rsid w:val="00810CC5"/>
    <w:rsid w:val="00811A67"/>
    <w:rsid w:val="00812473"/>
    <w:rsid w:val="0081262D"/>
    <w:rsid w:val="00812C50"/>
    <w:rsid w:val="008137EC"/>
    <w:rsid w:val="0081540D"/>
    <w:rsid w:val="00815DB9"/>
    <w:rsid w:val="008171E5"/>
    <w:rsid w:val="008176D9"/>
    <w:rsid w:val="00820011"/>
    <w:rsid w:val="00822769"/>
    <w:rsid w:val="00824527"/>
    <w:rsid w:val="00824A5E"/>
    <w:rsid w:val="00824DBB"/>
    <w:rsid w:val="00825024"/>
    <w:rsid w:val="0082672F"/>
    <w:rsid w:val="008276D9"/>
    <w:rsid w:val="00827FB9"/>
    <w:rsid w:val="00831844"/>
    <w:rsid w:val="008318D6"/>
    <w:rsid w:val="00832176"/>
    <w:rsid w:val="00832E65"/>
    <w:rsid w:val="00833971"/>
    <w:rsid w:val="00834E22"/>
    <w:rsid w:val="00834E9F"/>
    <w:rsid w:val="00836E18"/>
    <w:rsid w:val="00836F23"/>
    <w:rsid w:val="0084176A"/>
    <w:rsid w:val="00841A0F"/>
    <w:rsid w:val="00841D7E"/>
    <w:rsid w:val="008434B2"/>
    <w:rsid w:val="00845B8D"/>
    <w:rsid w:val="008479E3"/>
    <w:rsid w:val="00847B0E"/>
    <w:rsid w:val="00850FBF"/>
    <w:rsid w:val="00851A77"/>
    <w:rsid w:val="00851B0A"/>
    <w:rsid w:val="0085212C"/>
    <w:rsid w:val="008545CD"/>
    <w:rsid w:val="00855846"/>
    <w:rsid w:val="0085638B"/>
    <w:rsid w:val="0086023F"/>
    <w:rsid w:val="0086089C"/>
    <w:rsid w:val="0086146A"/>
    <w:rsid w:val="00863A10"/>
    <w:rsid w:val="0086517C"/>
    <w:rsid w:val="00866E86"/>
    <w:rsid w:val="00867F72"/>
    <w:rsid w:val="00870A69"/>
    <w:rsid w:val="00871272"/>
    <w:rsid w:val="00873604"/>
    <w:rsid w:val="008737AE"/>
    <w:rsid w:val="00873F84"/>
    <w:rsid w:val="008745BF"/>
    <w:rsid w:val="00875229"/>
    <w:rsid w:val="008779ED"/>
    <w:rsid w:val="00880DEB"/>
    <w:rsid w:val="00882CDF"/>
    <w:rsid w:val="00884C4C"/>
    <w:rsid w:val="008856D7"/>
    <w:rsid w:val="00886207"/>
    <w:rsid w:val="00887104"/>
    <w:rsid w:val="00890FF5"/>
    <w:rsid w:val="00894FDB"/>
    <w:rsid w:val="0089592C"/>
    <w:rsid w:val="00895C9F"/>
    <w:rsid w:val="008A19B2"/>
    <w:rsid w:val="008A1E20"/>
    <w:rsid w:val="008A2555"/>
    <w:rsid w:val="008A2E8D"/>
    <w:rsid w:val="008A408B"/>
    <w:rsid w:val="008A4AC3"/>
    <w:rsid w:val="008A5231"/>
    <w:rsid w:val="008A5893"/>
    <w:rsid w:val="008A63AD"/>
    <w:rsid w:val="008A6E87"/>
    <w:rsid w:val="008B2A21"/>
    <w:rsid w:val="008B79D9"/>
    <w:rsid w:val="008B7DE7"/>
    <w:rsid w:val="008B7EA8"/>
    <w:rsid w:val="008B7F8C"/>
    <w:rsid w:val="008C05D0"/>
    <w:rsid w:val="008C11D6"/>
    <w:rsid w:val="008C12D1"/>
    <w:rsid w:val="008C172C"/>
    <w:rsid w:val="008C30E0"/>
    <w:rsid w:val="008C370C"/>
    <w:rsid w:val="008C51C8"/>
    <w:rsid w:val="008D0B76"/>
    <w:rsid w:val="008D12CA"/>
    <w:rsid w:val="008D49AC"/>
    <w:rsid w:val="008D58B6"/>
    <w:rsid w:val="008D5ED6"/>
    <w:rsid w:val="008D5F92"/>
    <w:rsid w:val="008E0D42"/>
    <w:rsid w:val="008E1D0B"/>
    <w:rsid w:val="008E2874"/>
    <w:rsid w:val="008E2A9C"/>
    <w:rsid w:val="008E2ED2"/>
    <w:rsid w:val="008E3D75"/>
    <w:rsid w:val="008F0313"/>
    <w:rsid w:val="008F0DBB"/>
    <w:rsid w:val="008F1A15"/>
    <w:rsid w:val="008F34EF"/>
    <w:rsid w:val="008F5AB4"/>
    <w:rsid w:val="00902E88"/>
    <w:rsid w:val="009033B1"/>
    <w:rsid w:val="00906B07"/>
    <w:rsid w:val="00910007"/>
    <w:rsid w:val="00910295"/>
    <w:rsid w:val="009107F2"/>
    <w:rsid w:val="00911847"/>
    <w:rsid w:val="009144EF"/>
    <w:rsid w:val="00914F5E"/>
    <w:rsid w:val="00915FD6"/>
    <w:rsid w:val="009172E5"/>
    <w:rsid w:val="00922249"/>
    <w:rsid w:val="009238B6"/>
    <w:rsid w:val="00930895"/>
    <w:rsid w:val="009350B9"/>
    <w:rsid w:val="00935A6F"/>
    <w:rsid w:val="00935E9F"/>
    <w:rsid w:val="00936A93"/>
    <w:rsid w:val="0093719C"/>
    <w:rsid w:val="0094246C"/>
    <w:rsid w:val="0094248C"/>
    <w:rsid w:val="00942C6E"/>
    <w:rsid w:val="00943DA8"/>
    <w:rsid w:val="009442BB"/>
    <w:rsid w:val="0094558A"/>
    <w:rsid w:val="00952D72"/>
    <w:rsid w:val="00952E6B"/>
    <w:rsid w:val="009532B7"/>
    <w:rsid w:val="00953767"/>
    <w:rsid w:val="00953A14"/>
    <w:rsid w:val="009559B1"/>
    <w:rsid w:val="00956803"/>
    <w:rsid w:val="00960688"/>
    <w:rsid w:val="00961A12"/>
    <w:rsid w:val="00963A59"/>
    <w:rsid w:val="00964292"/>
    <w:rsid w:val="009662B6"/>
    <w:rsid w:val="0096696B"/>
    <w:rsid w:val="009670A0"/>
    <w:rsid w:val="00971BE0"/>
    <w:rsid w:val="00971D4E"/>
    <w:rsid w:val="009721E2"/>
    <w:rsid w:val="00973CE7"/>
    <w:rsid w:val="0097427E"/>
    <w:rsid w:val="009761ED"/>
    <w:rsid w:val="009804E0"/>
    <w:rsid w:val="009807F6"/>
    <w:rsid w:val="0098184C"/>
    <w:rsid w:val="009837B4"/>
    <w:rsid w:val="00987B92"/>
    <w:rsid w:val="00987C93"/>
    <w:rsid w:val="00987F49"/>
    <w:rsid w:val="0099076B"/>
    <w:rsid w:val="00997AE4"/>
    <w:rsid w:val="009A11C6"/>
    <w:rsid w:val="009A1723"/>
    <w:rsid w:val="009A1791"/>
    <w:rsid w:val="009A19C8"/>
    <w:rsid w:val="009A1D3E"/>
    <w:rsid w:val="009A2BF4"/>
    <w:rsid w:val="009A3392"/>
    <w:rsid w:val="009A3CEF"/>
    <w:rsid w:val="009A5358"/>
    <w:rsid w:val="009A5A9D"/>
    <w:rsid w:val="009A5BAC"/>
    <w:rsid w:val="009A657B"/>
    <w:rsid w:val="009A7D98"/>
    <w:rsid w:val="009B04E0"/>
    <w:rsid w:val="009B0B65"/>
    <w:rsid w:val="009B0FC3"/>
    <w:rsid w:val="009B1411"/>
    <w:rsid w:val="009B2374"/>
    <w:rsid w:val="009B2781"/>
    <w:rsid w:val="009B43DB"/>
    <w:rsid w:val="009B460A"/>
    <w:rsid w:val="009B468E"/>
    <w:rsid w:val="009B52B0"/>
    <w:rsid w:val="009B60CF"/>
    <w:rsid w:val="009B6157"/>
    <w:rsid w:val="009B689B"/>
    <w:rsid w:val="009B7646"/>
    <w:rsid w:val="009C069E"/>
    <w:rsid w:val="009C186C"/>
    <w:rsid w:val="009C45CF"/>
    <w:rsid w:val="009C46A8"/>
    <w:rsid w:val="009C5BB3"/>
    <w:rsid w:val="009C658B"/>
    <w:rsid w:val="009C7290"/>
    <w:rsid w:val="009C7E03"/>
    <w:rsid w:val="009C7F1C"/>
    <w:rsid w:val="009D1562"/>
    <w:rsid w:val="009D2085"/>
    <w:rsid w:val="009D3C90"/>
    <w:rsid w:val="009D3E47"/>
    <w:rsid w:val="009D425B"/>
    <w:rsid w:val="009D4DCC"/>
    <w:rsid w:val="009D5083"/>
    <w:rsid w:val="009D56DA"/>
    <w:rsid w:val="009D5915"/>
    <w:rsid w:val="009D67AB"/>
    <w:rsid w:val="009E0DB4"/>
    <w:rsid w:val="009E0FF0"/>
    <w:rsid w:val="009E29A3"/>
    <w:rsid w:val="009E2AF7"/>
    <w:rsid w:val="009E4AE6"/>
    <w:rsid w:val="009E581D"/>
    <w:rsid w:val="009E6B3C"/>
    <w:rsid w:val="009F14C8"/>
    <w:rsid w:val="009F1895"/>
    <w:rsid w:val="009F3848"/>
    <w:rsid w:val="009F43EF"/>
    <w:rsid w:val="009F50D6"/>
    <w:rsid w:val="009F5E3C"/>
    <w:rsid w:val="009F646E"/>
    <w:rsid w:val="009F71DA"/>
    <w:rsid w:val="00A005A5"/>
    <w:rsid w:val="00A00FEC"/>
    <w:rsid w:val="00A01A2F"/>
    <w:rsid w:val="00A028BB"/>
    <w:rsid w:val="00A02E5F"/>
    <w:rsid w:val="00A04074"/>
    <w:rsid w:val="00A07546"/>
    <w:rsid w:val="00A07A3A"/>
    <w:rsid w:val="00A10B14"/>
    <w:rsid w:val="00A129D9"/>
    <w:rsid w:val="00A137E7"/>
    <w:rsid w:val="00A15E02"/>
    <w:rsid w:val="00A17C9D"/>
    <w:rsid w:val="00A20D0A"/>
    <w:rsid w:val="00A2102D"/>
    <w:rsid w:val="00A23F52"/>
    <w:rsid w:val="00A2454D"/>
    <w:rsid w:val="00A24E62"/>
    <w:rsid w:val="00A264BC"/>
    <w:rsid w:val="00A274AC"/>
    <w:rsid w:val="00A318FC"/>
    <w:rsid w:val="00A321CA"/>
    <w:rsid w:val="00A34224"/>
    <w:rsid w:val="00A36CD7"/>
    <w:rsid w:val="00A36DFC"/>
    <w:rsid w:val="00A37A63"/>
    <w:rsid w:val="00A406F3"/>
    <w:rsid w:val="00A40DD9"/>
    <w:rsid w:val="00A41E83"/>
    <w:rsid w:val="00A42A33"/>
    <w:rsid w:val="00A42D80"/>
    <w:rsid w:val="00A42FCD"/>
    <w:rsid w:val="00A44085"/>
    <w:rsid w:val="00A44D1E"/>
    <w:rsid w:val="00A45240"/>
    <w:rsid w:val="00A501C7"/>
    <w:rsid w:val="00A51760"/>
    <w:rsid w:val="00A52427"/>
    <w:rsid w:val="00A54951"/>
    <w:rsid w:val="00A54FF2"/>
    <w:rsid w:val="00A55E32"/>
    <w:rsid w:val="00A5613C"/>
    <w:rsid w:val="00A57929"/>
    <w:rsid w:val="00A57C34"/>
    <w:rsid w:val="00A6096D"/>
    <w:rsid w:val="00A612EE"/>
    <w:rsid w:val="00A62F1C"/>
    <w:rsid w:val="00A648D5"/>
    <w:rsid w:val="00A653E2"/>
    <w:rsid w:val="00A66832"/>
    <w:rsid w:val="00A66970"/>
    <w:rsid w:val="00A66EB4"/>
    <w:rsid w:val="00A67575"/>
    <w:rsid w:val="00A71118"/>
    <w:rsid w:val="00A7178B"/>
    <w:rsid w:val="00A72888"/>
    <w:rsid w:val="00A72C50"/>
    <w:rsid w:val="00A72D1B"/>
    <w:rsid w:val="00A73439"/>
    <w:rsid w:val="00A74CF2"/>
    <w:rsid w:val="00A76B24"/>
    <w:rsid w:val="00A77359"/>
    <w:rsid w:val="00A80F10"/>
    <w:rsid w:val="00A80FD6"/>
    <w:rsid w:val="00A812B5"/>
    <w:rsid w:val="00A827B5"/>
    <w:rsid w:val="00A83503"/>
    <w:rsid w:val="00A84418"/>
    <w:rsid w:val="00A8600B"/>
    <w:rsid w:val="00A879C6"/>
    <w:rsid w:val="00A87F98"/>
    <w:rsid w:val="00A91072"/>
    <w:rsid w:val="00A920C6"/>
    <w:rsid w:val="00A924D0"/>
    <w:rsid w:val="00A94092"/>
    <w:rsid w:val="00A94819"/>
    <w:rsid w:val="00A96CD3"/>
    <w:rsid w:val="00A97DC1"/>
    <w:rsid w:val="00AA010B"/>
    <w:rsid w:val="00AA0170"/>
    <w:rsid w:val="00AA02F4"/>
    <w:rsid w:val="00AA16AB"/>
    <w:rsid w:val="00AA2E63"/>
    <w:rsid w:val="00AA3136"/>
    <w:rsid w:val="00AA3291"/>
    <w:rsid w:val="00AA3EB4"/>
    <w:rsid w:val="00AA44D7"/>
    <w:rsid w:val="00AA685A"/>
    <w:rsid w:val="00AA7B26"/>
    <w:rsid w:val="00AA7C24"/>
    <w:rsid w:val="00AB1941"/>
    <w:rsid w:val="00AB28BD"/>
    <w:rsid w:val="00AB2A8D"/>
    <w:rsid w:val="00AB2AB7"/>
    <w:rsid w:val="00AB2B7C"/>
    <w:rsid w:val="00AB3B74"/>
    <w:rsid w:val="00AB7865"/>
    <w:rsid w:val="00AC01AD"/>
    <w:rsid w:val="00AC09F2"/>
    <w:rsid w:val="00AC1BBF"/>
    <w:rsid w:val="00AC36CA"/>
    <w:rsid w:val="00AC3ABF"/>
    <w:rsid w:val="00AC43FA"/>
    <w:rsid w:val="00AC7919"/>
    <w:rsid w:val="00AD0629"/>
    <w:rsid w:val="00AD0E65"/>
    <w:rsid w:val="00AD2058"/>
    <w:rsid w:val="00AD2AE2"/>
    <w:rsid w:val="00AD379A"/>
    <w:rsid w:val="00AD39D4"/>
    <w:rsid w:val="00AD64BC"/>
    <w:rsid w:val="00AD687C"/>
    <w:rsid w:val="00AD7EDA"/>
    <w:rsid w:val="00AE0C96"/>
    <w:rsid w:val="00AE1622"/>
    <w:rsid w:val="00AE21F3"/>
    <w:rsid w:val="00AE2362"/>
    <w:rsid w:val="00AE24B9"/>
    <w:rsid w:val="00AE2956"/>
    <w:rsid w:val="00AE3C83"/>
    <w:rsid w:val="00AE3FEB"/>
    <w:rsid w:val="00AE452B"/>
    <w:rsid w:val="00AE6457"/>
    <w:rsid w:val="00AE6EB9"/>
    <w:rsid w:val="00AF0216"/>
    <w:rsid w:val="00AF18A8"/>
    <w:rsid w:val="00AF5234"/>
    <w:rsid w:val="00AF525C"/>
    <w:rsid w:val="00AF6100"/>
    <w:rsid w:val="00AF6302"/>
    <w:rsid w:val="00AF6695"/>
    <w:rsid w:val="00AF7FA9"/>
    <w:rsid w:val="00B0009F"/>
    <w:rsid w:val="00B003BA"/>
    <w:rsid w:val="00B038F4"/>
    <w:rsid w:val="00B03B69"/>
    <w:rsid w:val="00B06029"/>
    <w:rsid w:val="00B074F7"/>
    <w:rsid w:val="00B0796F"/>
    <w:rsid w:val="00B11A63"/>
    <w:rsid w:val="00B12792"/>
    <w:rsid w:val="00B150D5"/>
    <w:rsid w:val="00B1562B"/>
    <w:rsid w:val="00B15D0F"/>
    <w:rsid w:val="00B15EA3"/>
    <w:rsid w:val="00B16A3A"/>
    <w:rsid w:val="00B16CE8"/>
    <w:rsid w:val="00B21131"/>
    <w:rsid w:val="00B2438B"/>
    <w:rsid w:val="00B25B42"/>
    <w:rsid w:val="00B25C6F"/>
    <w:rsid w:val="00B26D5D"/>
    <w:rsid w:val="00B276D6"/>
    <w:rsid w:val="00B304A5"/>
    <w:rsid w:val="00B334C6"/>
    <w:rsid w:val="00B357F9"/>
    <w:rsid w:val="00B372BA"/>
    <w:rsid w:val="00B3778C"/>
    <w:rsid w:val="00B402CA"/>
    <w:rsid w:val="00B41F3B"/>
    <w:rsid w:val="00B426D4"/>
    <w:rsid w:val="00B43CDF"/>
    <w:rsid w:val="00B4462B"/>
    <w:rsid w:val="00B44E2F"/>
    <w:rsid w:val="00B518BA"/>
    <w:rsid w:val="00B52F9B"/>
    <w:rsid w:val="00B53568"/>
    <w:rsid w:val="00B5376C"/>
    <w:rsid w:val="00B54989"/>
    <w:rsid w:val="00B5545E"/>
    <w:rsid w:val="00B5672C"/>
    <w:rsid w:val="00B56820"/>
    <w:rsid w:val="00B6091D"/>
    <w:rsid w:val="00B617FB"/>
    <w:rsid w:val="00B6411D"/>
    <w:rsid w:val="00B645B6"/>
    <w:rsid w:val="00B64F3E"/>
    <w:rsid w:val="00B65EB5"/>
    <w:rsid w:val="00B66B86"/>
    <w:rsid w:val="00B66D7C"/>
    <w:rsid w:val="00B672ED"/>
    <w:rsid w:val="00B70E7F"/>
    <w:rsid w:val="00B7509D"/>
    <w:rsid w:val="00B756AC"/>
    <w:rsid w:val="00B75FD1"/>
    <w:rsid w:val="00B767CF"/>
    <w:rsid w:val="00B809D0"/>
    <w:rsid w:val="00B82309"/>
    <w:rsid w:val="00B8374D"/>
    <w:rsid w:val="00B85155"/>
    <w:rsid w:val="00B857EF"/>
    <w:rsid w:val="00B85F65"/>
    <w:rsid w:val="00B86213"/>
    <w:rsid w:val="00B91EBD"/>
    <w:rsid w:val="00B9469E"/>
    <w:rsid w:val="00BA03DE"/>
    <w:rsid w:val="00BA04BF"/>
    <w:rsid w:val="00BA15D5"/>
    <w:rsid w:val="00BA4BAC"/>
    <w:rsid w:val="00BA5706"/>
    <w:rsid w:val="00BA5D54"/>
    <w:rsid w:val="00BA62C6"/>
    <w:rsid w:val="00BA6DBF"/>
    <w:rsid w:val="00BB1D6B"/>
    <w:rsid w:val="00BB2389"/>
    <w:rsid w:val="00BB2D6F"/>
    <w:rsid w:val="00BB4096"/>
    <w:rsid w:val="00BB4F60"/>
    <w:rsid w:val="00BB61D8"/>
    <w:rsid w:val="00BB6AA8"/>
    <w:rsid w:val="00BB7BA8"/>
    <w:rsid w:val="00BB7DD3"/>
    <w:rsid w:val="00BC1AC9"/>
    <w:rsid w:val="00BC1CC7"/>
    <w:rsid w:val="00BC2179"/>
    <w:rsid w:val="00BC23FD"/>
    <w:rsid w:val="00BC24FF"/>
    <w:rsid w:val="00BC3214"/>
    <w:rsid w:val="00BC4139"/>
    <w:rsid w:val="00BC77C9"/>
    <w:rsid w:val="00BD024D"/>
    <w:rsid w:val="00BD2DC5"/>
    <w:rsid w:val="00BD4C64"/>
    <w:rsid w:val="00BD4F46"/>
    <w:rsid w:val="00BD4F5C"/>
    <w:rsid w:val="00BD51C9"/>
    <w:rsid w:val="00BE0357"/>
    <w:rsid w:val="00BE0E32"/>
    <w:rsid w:val="00BE133C"/>
    <w:rsid w:val="00BE1385"/>
    <w:rsid w:val="00BE2AD5"/>
    <w:rsid w:val="00BE3203"/>
    <w:rsid w:val="00BE45D4"/>
    <w:rsid w:val="00BE4A1C"/>
    <w:rsid w:val="00BE4FC8"/>
    <w:rsid w:val="00BE5F2A"/>
    <w:rsid w:val="00BE7349"/>
    <w:rsid w:val="00BF20E8"/>
    <w:rsid w:val="00BF40D3"/>
    <w:rsid w:val="00BF460B"/>
    <w:rsid w:val="00BF4A5A"/>
    <w:rsid w:val="00BF7CF6"/>
    <w:rsid w:val="00C008DF"/>
    <w:rsid w:val="00C02E00"/>
    <w:rsid w:val="00C03343"/>
    <w:rsid w:val="00C03553"/>
    <w:rsid w:val="00C04D39"/>
    <w:rsid w:val="00C0639F"/>
    <w:rsid w:val="00C06DE9"/>
    <w:rsid w:val="00C07368"/>
    <w:rsid w:val="00C07751"/>
    <w:rsid w:val="00C1103A"/>
    <w:rsid w:val="00C115F4"/>
    <w:rsid w:val="00C117D5"/>
    <w:rsid w:val="00C12F0E"/>
    <w:rsid w:val="00C14E55"/>
    <w:rsid w:val="00C1519B"/>
    <w:rsid w:val="00C172C9"/>
    <w:rsid w:val="00C17DAE"/>
    <w:rsid w:val="00C20732"/>
    <w:rsid w:val="00C225BA"/>
    <w:rsid w:val="00C24339"/>
    <w:rsid w:val="00C2433E"/>
    <w:rsid w:val="00C257D1"/>
    <w:rsid w:val="00C25A1A"/>
    <w:rsid w:val="00C2605B"/>
    <w:rsid w:val="00C26FCF"/>
    <w:rsid w:val="00C27097"/>
    <w:rsid w:val="00C307D1"/>
    <w:rsid w:val="00C30DB5"/>
    <w:rsid w:val="00C316E9"/>
    <w:rsid w:val="00C32C5F"/>
    <w:rsid w:val="00C332A2"/>
    <w:rsid w:val="00C33E17"/>
    <w:rsid w:val="00C34330"/>
    <w:rsid w:val="00C37118"/>
    <w:rsid w:val="00C4048F"/>
    <w:rsid w:val="00C40F40"/>
    <w:rsid w:val="00C4117C"/>
    <w:rsid w:val="00C423C7"/>
    <w:rsid w:val="00C42453"/>
    <w:rsid w:val="00C44CBC"/>
    <w:rsid w:val="00C470EB"/>
    <w:rsid w:val="00C474CD"/>
    <w:rsid w:val="00C5067F"/>
    <w:rsid w:val="00C50B55"/>
    <w:rsid w:val="00C51C97"/>
    <w:rsid w:val="00C5363B"/>
    <w:rsid w:val="00C5443D"/>
    <w:rsid w:val="00C55363"/>
    <w:rsid w:val="00C55590"/>
    <w:rsid w:val="00C55979"/>
    <w:rsid w:val="00C5774A"/>
    <w:rsid w:val="00C609E6"/>
    <w:rsid w:val="00C63334"/>
    <w:rsid w:val="00C63CB8"/>
    <w:rsid w:val="00C63F0B"/>
    <w:rsid w:val="00C655D6"/>
    <w:rsid w:val="00C65939"/>
    <w:rsid w:val="00C66901"/>
    <w:rsid w:val="00C674CF"/>
    <w:rsid w:val="00C67A07"/>
    <w:rsid w:val="00C70102"/>
    <w:rsid w:val="00C70BD2"/>
    <w:rsid w:val="00C70C3F"/>
    <w:rsid w:val="00C71597"/>
    <w:rsid w:val="00C71A54"/>
    <w:rsid w:val="00C72C93"/>
    <w:rsid w:val="00C74462"/>
    <w:rsid w:val="00C7497C"/>
    <w:rsid w:val="00C74A68"/>
    <w:rsid w:val="00C74C3C"/>
    <w:rsid w:val="00C75E3D"/>
    <w:rsid w:val="00C75F0B"/>
    <w:rsid w:val="00C76599"/>
    <w:rsid w:val="00C7659B"/>
    <w:rsid w:val="00C809AE"/>
    <w:rsid w:val="00C822D9"/>
    <w:rsid w:val="00C82352"/>
    <w:rsid w:val="00C82D2A"/>
    <w:rsid w:val="00C830B8"/>
    <w:rsid w:val="00C83247"/>
    <w:rsid w:val="00C84AD3"/>
    <w:rsid w:val="00C84B8D"/>
    <w:rsid w:val="00C870FF"/>
    <w:rsid w:val="00C9088C"/>
    <w:rsid w:val="00C92695"/>
    <w:rsid w:val="00C928FC"/>
    <w:rsid w:val="00C95B5A"/>
    <w:rsid w:val="00C95E2F"/>
    <w:rsid w:val="00C96CD0"/>
    <w:rsid w:val="00C97296"/>
    <w:rsid w:val="00C97414"/>
    <w:rsid w:val="00CA03A0"/>
    <w:rsid w:val="00CA1495"/>
    <w:rsid w:val="00CA14F5"/>
    <w:rsid w:val="00CA15E8"/>
    <w:rsid w:val="00CA4B28"/>
    <w:rsid w:val="00CA4B33"/>
    <w:rsid w:val="00CA5E9C"/>
    <w:rsid w:val="00CA6366"/>
    <w:rsid w:val="00CA784C"/>
    <w:rsid w:val="00CB3B0B"/>
    <w:rsid w:val="00CB4239"/>
    <w:rsid w:val="00CB4E22"/>
    <w:rsid w:val="00CB548A"/>
    <w:rsid w:val="00CB57C1"/>
    <w:rsid w:val="00CB5A34"/>
    <w:rsid w:val="00CB6CF2"/>
    <w:rsid w:val="00CC0360"/>
    <w:rsid w:val="00CC2111"/>
    <w:rsid w:val="00CC306F"/>
    <w:rsid w:val="00CC30FF"/>
    <w:rsid w:val="00CC3491"/>
    <w:rsid w:val="00CC7E3A"/>
    <w:rsid w:val="00CD02E5"/>
    <w:rsid w:val="00CD143B"/>
    <w:rsid w:val="00CD16E4"/>
    <w:rsid w:val="00CD1C9C"/>
    <w:rsid w:val="00CD3CC4"/>
    <w:rsid w:val="00CD401C"/>
    <w:rsid w:val="00CD54BF"/>
    <w:rsid w:val="00CE0753"/>
    <w:rsid w:val="00CE19B7"/>
    <w:rsid w:val="00CE38CE"/>
    <w:rsid w:val="00CE4C55"/>
    <w:rsid w:val="00CE4D32"/>
    <w:rsid w:val="00CE56BD"/>
    <w:rsid w:val="00CE76B5"/>
    <w:rsid w:val="00CF141E"/>
    <w:rsid w:val="00CF1CE0"/>
    <w:rsid w:val="00CF1F44"/>
    <w:rsid w:val="00CF329D"/>
    <w:rsid w:val="00CF3A78"/>
    <w:rsid w:val="00CF4FFE"/>
    <w:rsid w:val="00CF609E"/>
    <w:rsid w:val="00CF71C1"/>
    <w:rsid w:val="00D029B7"/>
    <w:rsid w:val="00D02A0F"/>
    <w:rsid w:val="00D0333B"/>
    <w:rsid w:val="00D035C7"/>
    <w:rsid w:val="00D07339"/>
    <w:rsid w:val="00D0785F"/>
    <w:rsid w:val="00D102BD"/>
    <w:rsid w:val="00D107B2"/>
    <w:rsid w:val="00D10B4E"/>
    <w:rsid w:val="00D11110"/>
    <w:rsid w:val="00D11E1C"/>
    <w:rsid w:val="00D15E06"/>
    <w:rsid w:val="00D21969"/>
    <w:rsid w:val="00D27689"/>
    <w:rsid w:val="00D27D5B"/>
    <w:rsid w:val="00D32B82"/>
    <w:rsid w:val="00D32E39"/>
    <w:rsid w:val="00D33AE8"/>
    <w:rsid w:val="00D345DE"/>
    <w:rsid w:val="00D34619"/>
    <w:rsid w:val="00D3494F"/>
    <w:rsid w:val="00D354F5"/>
    <w:rsid w:val="00D362F2"/>
    <w:rsid w:val="00D36CE2"/>
    <w:rsid w:val="00D37658"/>
    <w:rsid w:val="00D43056"/>
    <w:rsid w:val="00D43159"/>
    <w:rsid w:val="00D432C4"/>
    <w:rsid w:val="00D43BA2"/>
    <w:rsid w:val="00D43F6B"/>
    <w:rsid w:val="00D441CF"/>
    <w:rsid w:val="00D44323"/>
    <w:rsid w:val="00D44999"/>
    <w:rsid w:val="00D45D52"/>
    <w:rsid w:val="00D45EDE"/>
    <w:rsid w:val="00D46202"/>
    <w:rsid w:val="00D472C4"/>
    <w:rsid w:val="00D47611"/>
    <w:rsid w:val="00D47825"/>
    <w:rsid w:val="00D50409"/>
    <w:rsid w:val="00D53628"/>
    <w:rsid w:val="00D53F03"/>
    <w:rsid w:val="00D54017"/>
    <w:rsid w:val="00D54435"/>
    <w:rsid w:val="00D54FD0"/>
    <w:rsid w:val="00D55EBA"/>
    <w:rsid w:val="00D57556"/>
    <w:rsid w:val="00D612D2"/>
    <w:rsid w:val="00D616EC"/>
    <w:rsid w:val="00D61782"/>
    <w:rsid w:val="00D63920"/>
    <w:rsid w:val="00D63E23"/>
    <w:rsid w:val="00D63FFA"/>
    <w:rsid w:val="00D640A0"/>
    <w:rsid w:val="00D64A8B"/>
    <w:rsid w:val="00D64DFD"/>
    <w:rsid w:val="00D67B11"/>
    <w:rsid w:val="00D705E8"/>
    <w:rsid w:val="00D712E4"/>
    <w:rsid w:val="00D71967"/>
    <w:rsid w:val="00D72AAB"/>
    <w:rsid w:val="00D7306E"/>
    <w:rsid w:val="00D7553F"/>
    <w:rsid w:val="00D763C0"/>
    <w:rsid w:val="00D77C85"/>
    <w:rsid w:val="00D817B4"/>
    <w:rsid w:val="00D8409F"/>
    <w:rsid w:val="00D85E65"/>
    <w:rsid w:val="00D8616A"/>
    <w:rsid w:val="00D87F2B"/>
    <w:rsid w:val="00D90CC0"/>
    <w:rsid w:val="00D90CFC"/>
    <w:rsid w:val="00D94A40"/>
    <w:rsid w:val="00D94A95"/>
    <w:rsid w:val="00D95065"/>
    <w:rsid w:val="00D971D5"/>
    <w:rsid w:val="00D97E1B"/>
    <w:rsid w:val="00DA1AEE"/>
    <w:rsid w:val="00DA207C"/>
    <w:rsid w:val="00DA4F66"/>
    <w:rsid w:val="00DB059D"/>
    <w:rsid w:val="00DB16C4"/>
    <w:rsid w:val="00DB1857"/>
    <w:rsid w:val="00DB1AB3"/>
    <w:rsid w:val="00DB1FE6"/>
    <w:rsid w:val="00DB25C9"/>
    <w:rsid w:val="00DB2F3A"/>
    <w:rsid w:val="00DB4C12"/>
    <w:rsid w:val="00DB7CEA"/>
    <w:rsid w:val="00DC1AA9"/>
    <w:rsid w:val="00DC3F52"/>
    <w:rsid w:val="00DD264F"/>
    <w:rsid w:val="00DD35BD"/>
    <w:rsid w:val="00DD4EBD"/>
    <w:rsid w:val="00DE1473"/>
    <w:rsid w:val="00DE1D98"/>
    <w:rsid w:val="00DE308E"/>
    <w:rsid w:val="00DE3CB3"/>
    <w:rsid w:val="00DE475A"/>
    <w:rsid w:val="00DE4D57"/>
    <w:rsid w:val="00DE53C2"/>
    <w:rsid w:val="00DE64BE"/>
    <w:rsid w:val="00DE6CC7"/>
    <w:rsid w:val="00DE6F56"/>
    <w:rsid w:val="00DF0986"/>
    <w:rsid w:val="00DF0B95"/>
    <w:rsid w:val="00DF110E"/>
    <w:rsid w:val="00DF1633"/>
    <w:rsid w:val="00DF1EB6"/>
    <w:rsid w:val="00DF3181"/>
    <w:rsid w:val="00DF4690"/>
    <w:rsid w:val="00DF4ADF"/>
    <w:rsid w:val="00DF658E"/>
    <w:rsid w:val="00E000F8"/>
    <w:rsid w:val="00E060A9"/>
    <w:rsid w:val="00E069A1"/>
    <w:rsid w:val="00E070EA"/>
    <w:rsid w:val="00E07B9C"/>
    <w:rsid w:val="00E1042B"/>
    <w:rsid w:val="00E109C2"/>
    <w:rsid w:val="00E11F9B"/>
    <w:rsid w:val="00E13EB7"/>
    <w:rsid w:val="00E1422C"/>
    <w:rsid w:val="00E14613"/>
    <w:rsid w:val="00E1465B"/>
    <w:rsid w:val="00E15162"/>
    <w:rsid w:val="00E15AB9"/>
    <w:rsid w:val="00E2094E"/>
    <w:rsid w:val="00E21087"/>
    <w:rsid w:val="00E21C2E"/>
    <w:rsid w:val="00E21E78"/>
    <w:rsid w:val="00E2391B"/>
    <w:rsid w:val="00E314B6"/>
    <w:rsid w:val="00E3214C"/>
    <w:rsid w:val="00E32690"/>
    <w:rsid w:val="00E3396D"/>
    <w:rsid w:val="00E34348"/>
    <w:rsid w:val="00E343CC"/>
    <w:rsid w:val="00E34F7E"/>
    <w:rsid w:val="00E376F5"/>
    <w:rsid w:val="00E37C3B"/>
    <w:rsid w:val="00E40773"/>
    <w:rsid w:val="00E40BFD"/>
    <w:rsid w:val="00E41B14"/>
    <w:rsid w:val="00E41F17"/>
    <w:rsid w:val="00E44008"/>
    <w:rsid w:val="00E446E9"/>
    <w:rsid w:val="00E45139"/>
    <w:rsid w:val="00E452C4"/>
    <w:rsid w:val="00E51CD1"/>
    <w:rsid w:val="00E52238"/>
    <w:rsid w:val="00E533BD"/>
    <w:rsid w:val="00E539D4"/>
    <w:rsid w:val="00E55091"/>
    <w:rsid w:val="00E57389"/>
    <w:rsid w:val="00E57550"/>
    <w:rsid w:val="00E60319"/>
    <w:rsid w:val="00E62D44"/>
    <w:rsid w:val="00E63059"/>
    <w:rsid w:val="00E649ED"/>
    <w:rsid w:val="00E65101"/>
    <w:rsid w:val="00E658AD"/>
    <w:rsid w:val="00E65D0E"/>
    <w:rsid w:val="00E6691C"/>
    <w:rsid w:val="00E66A62"/>
    <w:rsid w:val="00E66AC4"/>
    <w:rsid w:val="00E71D7C"/>
    <w:rsid w:val="00E71FD8"/>
    <w:rsid w:val="00E7285F"/>
    <w:rsid w:val="00E73F17"/>
    <w:rsid w:val="00E743C1"/>
    <w:rsid w:val="00E74857"/>
    <w:rsid w:val="00E75165"/>
    <w:rsid w:val="00E757C3"/>
    <w:rsid w:val="00E75F99"/>
    <w:rsid w:val="00E80472"/>
    <w:rsid w:val="00E80A1C"/>
    <w:rsid w:val="00E8362C"/>
    <w:rsid w:val="00E8408B"/>
    <w:rsid w:val="00E844F6"/>
    <w:rsid w:val="00E8572D"/>
    <w:rsid w:val="00E85ECD"/>
    <w:rsid w:val="00E87417"/>
    <w:rsid w:val="00E90804"/>
    <w:rsid w:val="00E91983"/>
    <w:rsid w:val="00E91F2B"/>
    <w:rsid w:val="00E94085"/>
    <w:rsid w:val="00E95DFE"/>
    <w:rsid w:val="00E95ED6"/>
    <w:rsid w:val="00E9611C"/>
    <w:rsid w:val="00E96F6E"/>
    <w:rsid w:val="00E9720E"/>
    <w:rsid w:val="00E97B41"/>
    <w:rsid w:val="00EA280B"/>
    <w:rsid w:val="00EA2B16"/>
    <w:rsid w:val="00EA40FD"/>
    <w:rsid w:val="00EA5CE4"/>
    <w:rsid w:val="00EA5EE7"/>
    <w:rsid w:val="00EB0A59"/>
    <w:rsid w:val="00EB0EA9"/>
    <w:rsid w:val="00EB1B82"/>
    <w:rsid w:val="00EB28CA"/>
    <w:rsid w:val="00EB2AF5"/>
    <w:rsid w:val="00EB2F3C"/>
    <w:rsid w:val="00EB58A7"/>
    <w:rsid w:val="00EB6856"/>
    <w:rsid w:val="00EB69FC"/>
    <w:rsid w:val="00EB6C31"/>
    <w:rsid w:val="00EC0968"/>
    <w:rsid w:val="00EC30A6"/>
    <w:rsid w:val="00EC37ED"/>
    <w:rsid w:val="00EC5A19"/>
    <w:rsid w:val="00EC5A32"/>
    <w:rsid w:val="00EC673B"/>
    <w:rsid w:val="00EC6B8C"/>
    <w:rsid w:val="00ED0818"/>
    <w:rsid w:val="00ED0DB9"/>
    <w:rsid w:val="00ED0FE1"/>
    <w:rsid w:val="00ED1C34"/>
    <w:rsid w:val="00ED1E35"/>
    <w:rsid w:val="00ED2A20"/>
    <w:rsid w:val="00ED3E7B"/>
    <w:rsid w:val="00ED4295"/>
    <w:rsid w:val="00ED583F"/>
    <w:rsid w:val="00EE0DC3"/>
    <w:rsid w:val="00EE1055"/>
    <w:rsid w:val="00EE2084"/>
    <w:rsid w:val="00EE287C"/>
    <w:rsid w:val="00EE558E"/>
    <w:rsid w:val="00EE6E77"/>
    <w:rsid w:val="00EE7076"/>
    <w:rsid w:val="00EF0EB1"/>
    <w:rsid w:val="00EF1614"/>
    <w:rsid w:val="00EF1D18"/>
    <w:rsid w:val="00EF248C"/>
    <w:rsid w:val="00EF3339"/>
    <w:rsid w:val="00EF3F24"/>
    <w:rsid w:val="00F00E2E"/>
    <w:rsid w:val="00F01809"/>
    <w:rsid w:val="00F01A7A"/>
    <w:rsid w:val="00F0251F"/>
    <w:rsid w:val="00F027A5"/>
    <w:rsid w:val="00F03BC3"/>
    <w:rsid w:val="00F0482A"/>
    <w:rsid w:val="00F063A9"/>
    <w:rsid w:val="00F06665"/>
    <w:rsid w:val="00F0792F"/>
    <w:rsid w:val="00F1268A"/>
    <w:rsid w:val="00F14206"/>
    <w:rsid w:val="00F15221"/>
    <w:rsid w:val="00F17254"/>
    <w:rsid w:val="00F2118D"/>
    <w:rsid w:val="00F21199"/>
    <w:rsid w:val="00F23004"/>
    <w:rsid w:val="00F2317E"/>
    <w:rsid w:val="00F26F70"/>
    <w:rsid w:val="00F27C87"/>
    <w:rsid w:val="00F32FDA"/>
    <w:rsid w:val="00F35DF2"/>
    <w:rsid w:val="00F375E7"/>
    <w:rsid w:val="00F37EDA"/>
    <w:rsid w:val="00F40B92"/>
    <w:rsid w:val="00F41F55"/>
    <w:rsid w:val="00F42266"/>
    <w:rsid w:val="00F431F3"/>
    <w:rsid w:val="00F43704"/>
    <w:rsid w:val="00F43A09"/>
    <w:rsid w:val="00F45710"/>
    <w:rsid w:val="00F4580F"/>
    <w:rsid w:val="00F4793D"/>
    <w:rsid w:val="00F50B5F"/>
    <w:rsid w:val="00F52338"/>
    <w:rsid w:val="00F53273"/>
    <w:rsid w:val="00F53A2D"/>
    <w:rsid w:val="00F53FE6"/>
    <w:rsid w:val="00F5527D"/>
    <w:rsid w:val="00F566DF"/>
    <w:rsid w:val="00F570DA"/>
    <w:rsid w:val="00F57B0C"/>
    <w:rsid w:val="00F62788"/>
    <w:rsid w:val="00F6359C"/>
    <w:rsid w:val="00F636EE"/>
    <w:rsid w:val="00F63742"/>
    <w:rsid w:val="00F637C4"/>
    <w:rsid w:val="00F6384F"/>
    <w:rsid w:val="00F64FEB"/>
    <w:rsid w:val="00F65AA0"/>
    <w:rsid w:val="00F65CE3"/>
    <w:rsid w:val="00F66479"/>
    <w:rsid w:val="00F66577"/>
    <w:rsid w:val="00F71D0A"/>
    <w:rsid w:val="00F7307D"/>
    <w:rsid w:val="00F73BD1"/>
    <w:rsid w:val="00F74504"/>
    <w:rsid w:val="00F74E18"/>
    <w:rsid w:val="00F75F7E"/>
    <w:rsid w:val="00F76963"/>
    <w:rsid w:val="00F76A77"/>
    <w:rsid w:val="00F806A5"/>
    <w:rsid w:val="00F810BF"/>
    <w:rsid w:val="00F816C2"/>
    <w:rsid w:val="00F82D91"/>
    <w:rsid w:val="00F83244"/>
    <w:rsid w:val="00F83276"/>
    <w:rsid w:val="00F842AA"/>
    <w:rsid w:val="00F90DA7"/>
    <w:rsid w:val="00F90EA0"/>
    <w:rsid w:val="00F91547"/>
    <w:rsid w:val="00F91D03"/>
    <w:rsid w:val="00F9222D"/>
    <w:rsid w:val="00F9251B"/>
    <w:rsid w:val="00F94C7C"/>
    <w:rsid w:val="00F95815"/>
    <w:rsid w:val="00F96F57"/>
    <w:rsid w:val="00F96F76"/>
    <w:rsid w:val="00F97E45"/>
    <w:rsid w:val="00FA0250"/>
    <w:rsid w:val="00FA12B3"/>
    <w:rsid w:val="00FA1302"/>
    <w:rsid w:val="00FA1D0D"/>
    <w:rsid w:val="00FA3B67"/>
    <w:rsid w:val="00FA54B4"/>
    <w:rsid w:val="00FA6D15"/>
    <w:rsid w:val="00FB24E6"/>
    <w:rsid w:val="00FB3A89"/>
    <w:rsid w:val="00FB40D2"/>
    <w:rsid w:val="00FB4D24"/>
    <w:rsid w:val="00FB75B0"/>
    <w:rsid w:val="00FC0065"/>
    <w:rsid w:val="00FC0FCB"/>
    <w:rsid w:val="00FC2AC3"/>
    <w:rsid w:val="00FC3450"/>
    <w:rsid w:val="00FC5D29"/>
    <w:rsid w:val="00FC6000"/>
    <w:rsid w:val="00FC6DBD"/>
    <w:rsid w:val="00FC7A64"/>
    <w:rsid w:val="00FC7BCF"/>
    <w:rsid w:val="00FD1B30"/>
    <w:rsid w:val="00FD1BC1"/>
    <w:rsid w:val="00FD1F0C"/>
    <w:rsid w:val="00FD2368"/>
    <w:rsid w:val="00FD23D9"/>
    <w:rsid w:val="00FD3169"/>
    <w:rsid w:val="00FD36F8"/>
    <w:rsid w:val="00FD4765"/>
    <w:rsid w:val="00FD525D"/>
    <w:rsid w:val="00FD6166"/>
    <w:rsid w:val="00FD7FA5"/>
    <w:rsid w:val="00FE08A0"/>
    <w:rsid w:val="00FE1319"/>
    <w:rsid w:val="00FE3F99"/>
    <w:rsid w:val="00FE5E83"/>
    <w:rsid w:val="00FE64CC"/>
    <w:rsid w:val="00FF136D"/>
    <w:rsid w:val="00FF1403"/>
    <w:rsid w:val="00FF2685"/>
    <w:rsid w:val="00FF470D"/>
    <w:rsid w:val="00FF5EBC"/>
    <w:rsid w:val="00FF6F89"/>
    <w:rsid w:val="00FF709C"/>
    <w:rsid w:val="00FF755B"/>
    <w:rsid w:val="011C43CD"/>
    <w:rsid w:val="015CA901"/>
    <w:rsid w:val="018C8DC6"/>
    <w:rsid w:val="01BAE4B9"/>
    <w:rsid w:val="01C8AFC0"/>
    <w:rsid w:val="01CD8C4F"/>
    <w:rsid w:val="01ED7D47"/>
    <w:rsid w:val="021CA37C"/>
    <w:rsid w:val="027966CF"/>
    <w:rsid w:val="02857105"/>
    <w:rsid w:val="02A1F343"/>
    <w:rsid w:val="02B85AD0"/>
    <w:rsid w:val="02C00C71"/>
    <w:rsid w:val="02D0E8E5"/>
    <w:rsid w:val="02D92CC0"/>
    <w:rsid w:val="02FF66F0"/>
    <w:rsid w:val="03124587"/>
    <w:rsid w:val="0315D9D6"/>
    <w:rsid w:val="03292730"/>
    <w:rsid w:val="03397EE6"/>
    <w:rsid w:val="033E3C19"/>
    <w:rsid w:val="03690BCB"/>
    <w:rsid w:val="037B3A99"/>
    <w:rsid w:val="03D98FA1"/>
    <w:rsid w:val="04200E08"/>
    <w:rsid w:val="043D0FA5"/>
    <w:rsid w:val="0441A64C"/>
    <w:rsid w:val="04546B77"/>
    <w:rsid w:val="049BD2CF"/>
    <w:rsid w:val="04AC13F4"/>
    <w:rsid w:val="04C5064A"/>
    <w:rsid w:val="059893FA"/>
    <w:rsid w:val="05C5E5C1"/>
    <w:rsid w:val="05F66C98"/>
    <w:rsid w:val="06053D1E"/>
    <w:rsid w:val="061D1B37"/>
    <w:rsid w:val="0632CDE7"/>
    <w:rsid w:val="063D55B8"/>
    <w:rsid w:val="065CEB46"/>
    <w:rsid w:val="0688BFE8"/>
    <w:rsid w:val="06C6485C"/>
    <w:rsid w:val="06D6407C"/>
    <w:rsid w:val="06FD9619"/>
    <w:rsid w:val="0714D74B"/>
    <w:rsid w:val="0735A996"/>
    <w:rsid w:val="0745FF3F"/>
    <w:rsid w:val="07715B92"/>
    <w:rsid w:val="078409D7"/>
    <w:rsid w:val="07937210"/>
    <w:rsid w:val="07BFFCF3"/>
    <w:rsid w:val="07C3DB26"/>
    <w:rsid w:val="07FAAB0E"/>
    <w:rsid w:val="0804B621"/>
    <w:rsid w:val="081D38A3"/>
    <w:rsid w:val="08764048"/>
    <w:rsid w:val="08831CB0"/>
    <w:rsid w:val="08EDA898"/>
    <w:rsid w:val="08F50CC3"/>
    <w:rsid w:val="09119D1A"/>
    <w:rsid w:val="093A0B52"/>
    <w:rsid w:val="09BBF3E3"/>
    <w:rsid w:val="0A374808"/>
    <w:rsid w:val="0A3985FB"/>
    <w:rsid w:val="0A597845"/>
    <w:rsid w:val="0A5EC248"/>
    <w:rsid w:val="0A726350"/>
    <w:rsid w:val="0AD59373"/>
    <w:rsid w:val="0AFA6A57"/>
    <w:rsid w:val="0AFD5A0C"/>
    <w:rsid w:val="0B247BAC"/>
    <w:rsid w:val="0B290BBE"/>
    <w:rsid w:val="0B3E58B1"/>
    <w:rsid w:val="0B68C1C7"/>
    <w:rsid w:val="0B84E04E"/>
    <w:rsid w:val="0BB759E8"/>
    <w:rsid w:val="0BFE8468"/>
    <w:rsid w:val="0C14F5E8"/>
    <w:rsid w:val="0C179B53"/>
    <w:rsid w:val="0C95A15E"/>
    <w:rsid w:val="0CCDCCF8"/>
    <w:rsid w:val="0CCEA278"/>
    <w:rsid w:val="0CCFA39A"/>
    <w:rsid w:val="0CF9D048"/>
    <w:rsid w:val="0D1EA5A6"/>
    <w:rsid w:val="0D410A8B"/>
    <w:rsid w:val="0D4CEB4B"/>
    <w:rsid w:val="0DA31B7B"/>
    <w:rsid w:val="0DA5B0A4"/>
    <w:rsid w:val="0DA5E466"/>
    <w:rsid w:val="0E17128D"/>
    <w:rsid w:val="0E45AF95"/>
    <w:rsid w:val="0E781075"/>
    <w:rsid w:val="0EB0B882"/>
    <w:rsid w:val="0EC8F71F"/>
    <w:rsid w:val="0ED4B2CF"/>
    <w:rsid w:val="0EF99138"/>
    <w:rsid w:val="0F46058B"/>
    <w:rsid w:val="0F572689"/>
    <w:rsid w:val="0F581A0E"/>
    <w:rsid w:val="0F8DB618"/>
    <w:rsid w:val="0F929C25"/>
    <w:rsid w:val="0FC0663D"/>
    <w:rsid w:val="0FD8A137"/>
    <w:rsid w:val="0FDBBF3E"/>
    <w:rsid w:val="0FDDF779"/>
    <w:rsid w:val="0FE82634"/>
    <w:rsid w:val="10216659"/>
    <w:rsid w:val="1042E69A"/>
    <w:rsid w:val="10590D65"/>
    <w:rsid w:val="108C462C"/>
    <w:rsid w:val="10A3E3DD"/>
    <w:rsid w:val="11381CE6"/>
    <w:rsid w:val="1153B080"/>
    <w:rsid w:val="1154F4B4"/>
    <w:rsid w:val="115E0B9E"/>
    <w:rsid w:val="117204FC"/>
    <w:rsid w:val="11830440"/>
    <w:rsid w:val="11A2BBD2"/>
    <w:rsid w:val="11CE1E5C"/>
    <w:rsid w:val="123DAF97"/>
    <w:rsid w:val="1291F4DB"/>
    <w:rsid w:val="12CA7205"/>
    <w:rsid w:val="12E57F45"/>
    <w:rsid w:val="12EAEB82"/>
    <w:rsid w:val="13001E86"/>
    <w:rsid w:val="1307AC24"/>
    <w:rsid w:val="134CAF3D"/>
    <w:rsid w:val="137FAF96"/>
    <w:rsid w:val="138AF801"/>
    <w:rsid w:val="13ED04A2"/>
    <w:rsid w:val="13F5531F"/>
    <w:rsid w:val="1451C53A"/>
    <w:rsid w:val="1470AC46"/>
    <w:rsid w:val="148C4F7C"/>
    <w:rsid w:val="14C54D0C"/>
    <w:rsid w:val="14F57D85"/>
    <w:rsid w:val="15213A55"/>
    <w:rsid w:val="15302BC8"/>
    <w:rsid w:val="153E3106"/>
    <w:rsid w:val="155AF932"/>
    <w:rsid w:val="156A671C"/>
    <w:rsid w:val="156B7B7E"/>
    <w:rsid w:val="15732822"/>
    <w:rsid w:val="15BE2380"/>
    <w:rsid w:val="15BF20E5"/>
    <w:rsid w:val="15F1D013"/>
    <w:rsid w:val="16003680"/>
    <w:rsid w:val="162721A3"/>
    <w:rsid w:val="163B3A3C"/>
    <w:rsid w:val="1645845D"/>
    <w:rsid w:val="16612113"/>
    <w:rsid w:val="169E80F1"/>
    <w:rsid w:val="16A12AD8"/>
    <w:rsid w:val="16B2CA6A"/>
    <w:rsid w:val="16D7E29A"/>
    <w:rsid w:val="16D95006"/>
    <w:rsid w:val="172E3D0C"/>
    <w:rsid w:val="1748E052"/>
    <w:rsid w:val="17DC26BD"/>
    <w:rsid w:val="180AEC3A"/>
    <w:rsid w:val="18288847"/>
    <w:rsid w:val="185EF805"/>
    <w:rsid w:val="186CC7F5"/>
    <w:rsid w:val="187659E2"/>
    <w:rsid w:val="1881E921"/>
    <w:rsid w:val="188B846F"/>
    <w:rsid w:val="18A30B57"/>
    <w:rsid w:val="18F65B7E"/>
    <w:rsid w:val="18FBE440"/>
    <w:rsid w:val="18FDAEBC"/>
    <w:rsid w:val="190FA849"/>
    <w:rsid w:val="195A5CDD"/>
    <w:rsid w:val="19706659"/>
    <w:rsid w:val="19757F34"/>
    <w:rsid w:val="197840F5"/>
    <w:rsid w:val="19796FE5"/>
    <w:rsid w:val="197B6128"/>
    <w:rsid w:val="197F06F5"/>
    <w:rsid w:val="1985036C"/>
    <w:rsid w:val="19893B6B"/>
    <w:rsid w:val="1A05E84A"/>
    <w:rsid w:val="1A570BF8"/>
    <w:rsid w:val="1A80F28A"/>
    <w:rsid w:val="1A8CE29B"/>
    <w:rsid w:val="1A975E0C"/>
    <w:rsid w:val="1AEA6B14"/>
    <w:rsid w:val="1AED18B0"/>
    <w:rsid w:val="1B052EAA"/>
    <w:rsid w:val="1B07DA47"/>
    <w:rsid w:val="1B5B739E"/>
    <w:rsid w:val="1B888816"/>
    <w:rsid w:val="1B9ABDB0"/>
    <w:rsid w:val="1BA248B4"/>
    <w:rsid w:val="1BAF9983"/>
    <w:rsid w:val="1BEE3FD0"/>
    <w:rsid w:val="1C114F3C"/>
    <w:rsid w:val="1C17ABF7"/>
    <w:rsid w:val="1C47490B"/>
    <w:rsid w:val="1C57ABAA"/>
    <w:rsid w:val="1C903CE5"/>
    <w:rsid w:val="1CB4E00E"/>
    <w:rsid w:val="1CF743FF"/>
    <w:rsid w:val="1D04B2B7"/>
    <w:rsid w:val="1DD84BBA"/>
    <w:rsid w:val="1DEE6DA4"/>
    <w:rsid w:val="1DF98059"/>
    <w:rsid w:val="1E6FDA6C"/>
    <w:rsid w:val="1E931460"/>
    <w:rsid w:val="1EB8228A"/>
    <w:rsid w:val="1F886E2F"/>
    <w:rsid w:val="1F92A3E7"/>
    <w:rsid w:val="1FCFB8E5"/>
    <w:rsid w:val="1FD0513D"/>
    <w:rsid w:val="1FE79B85"/>
    <w:rsid w:val="1FFB016B"/>
    <w:rsid w:val="206D6616"/>
    <w:rsid w:val="21654C6E"/>
    <w:rsid w:val="21660C57"/>
    <w:rsid w:val="219FFACE"/>
    <w:rsid w:val="21D45C6B"/>
    <w:rsid w:val="21ECA106"/>
    <w:rsid w:val="22028A79"/>
    <w:rsid w:val="221E68CF"/>
    <w:rsid w:val="22302778"/>
    <w:rsid w:val="225D973D"/>
    <w:rsid w:val="22638AC7"/>
    <w:rsid w:val="226DA53F"/>
    <w:rsid w:val="22D9D893"/>
    <w:rsid w:val="22FB8C60"/>
    <w:rsid w:val="2313CCEA"/>
    <w:rsid w:val="2341857D"/>
    <w:rsid w:val="235855D8"/>
    <w:rsid w:val="235D6CAA"/>
    <w:rsid w:val="23AAAF94"/>
    <w:rsid w:val="23CCAADC"/>
    <w:rsid w:val="23F48129"/>
    <w:rsid w:val="240BD2E4"/>
    <w:rsid w:val="240EAC73"/>
    <w:rsid w:val="24C58B04"/>
    <w:rsid w:val="24F86DC4"/>
    <w:rsid w:val="251E7F2D"/>
    <w:rsid w:val="25291208"/>
    <w:rsid w:val="254CE103"/>
    <w:rsid w:val="25565047"/>
    <w:rsid w:val="2559A004"/>
    <w:rsid w:val="2563143D"/>
    <w:rsid w:val="258D575E"/>
    <w:rsid w:val="25E214E3"/>
    <w:rsid w:val="26900337"/>
    <w:rsid w:val="26940D89"/>
    <w:rsid w:val="26BE17C5"/>
    <w:rsid w:val="26D97753"/>
    <w:rsid w:val="26DB195C"/>
    <w:rsid w:val="26E48BA8"/>
    <w:rsid w:val="26ED55C8"/>
    <w:rsid w:val="26EDCADA"/>
    <w:rsid w:val="270E3AA8"/>
    <w:rsid w:val="2717E003"/>
    <w:rsid w:val="2773D5C3"/>
    <w:rsid w:val="27897247"/>
    <w:rsid w:val="27A29AA4"/>
    <w:rsid w:val="27B23A1A"/>
    <w:rsid w:val="27F3719D"/>
    <w:rsid w:val="28044F03"/>
    <w:rsid w:val="28741251"/>
    <w:rsid w:val="28E3A8AD"/>
    <w:rsid w:val="29204C24"/>
    <w:rsid w:val="29433499"/>
    <w:rsid w:val="294BA928"/>
    <w:rsid w:val="295136F9"/>
    <w:rsid w:val="29554A5E"/>
    <w:rsid w:val="296954C3"/>
    <w:rsid w:val="29CAA4DA"/>
    <w:rsid w:val="29D74AD8"/>
    <w:rsid w:val="29F7236E"/>
    <w:rsid w:val="2A111815"/>
    <w:rsid w:val="2A490AD1"/>
    <w:rsid w:val="2A5857A4"/>
    <w:rsid w:val="2A862596"/>
    <w:rsid w:val="2AB03AB3"/>
    <w:rsid w:val="2AF5FDAD"/>
    <w:rsid w:val="2B20568E"/>
    <w:rsid w:val="2B6AB530"/>
    <w:rsid w:val="2B6C4746"/>
    <w:rsid w:val="2BA3DB50"/>
    <w:rsid w:val="2BFF5003"/>
    <w:rsid w:val="2CA45368"/>
    <w:rsid w:val="2CB6098D"/>
    <w:rsid w:val="2CCAFB96"/>
    <w:rsid w:val="2CCC9FBA"/>
    <w:rsid w:val="2CD20ABC"/>
    <w:rsid w:val="2CD90A3A"/>
    <w:rsid w:val="2D32C0C1"/>
    <w:rsid w:val="2D68D141"/>
    <w:rsid w:val="2D7EEA00"/>
    <w:rsid w:val="2D8B0E6A"/>
    <w:rsid w:val="2DB88411"/>
    <w:rsid w:val="2DBFD924"/>
    <w:rsid w:val="2DCFC6BF"/>
    <w:rsid w:val="2DDA11F5"/>
    <w:rsid w:val="2E2BD770"/>
    <w:rsid w:val="2E51D9EE"/>
    <w:rsid w:val="2E991F31"/>
    <w:rsid w:val="2EA5FDF3"/>
    <w:rsid w:val="2ED631AE"/>
    <w:rsid w:val="2F3DE382"/>
    <w:rsid w:val="2F5944A4"/>
    <w:rsid w:val="2F628B8D"/>
    <w:rsid w:val="2FD3B912"/>
    <w:rsid w:val="2FE3C915"/>
    <w:rsid w:val="2FFFB9A8"/>
    <w:rsid w:val="305C2507"/>
    <w:rsid w:val="30615535"/>
    <w:rsid w:val="30637487"/>
    <w:rsid w:val="30920587"/>
    <w:rsid w:val="309A8227"/>
    <w:rsid w:val="30C28046"/>
    <w:rsid w:val="30FF45AD"/>
    <w:rsid w:val="31015E48"/>
    <w:rsid w:val="31039A13"/>
    <w:rsid w:val="31069ACC"/>
    <w:rsid w:val="310E7643"/>
    <w:rsid w:val="3113CD0E"/>
    <w:rsid w:val="3124FAF7"/>
    <w:rsid w:val="313F37F4"/>
    <w:rsid w:val="318AE404"/>
    <w:rsid w:val="319C45BF"/>
    <w:rsid w:val="319E56E3"/>
    <w:rsid w:val="31B67112"/>
    <w:rsid w:val="31B74672"/>
    <w:rsid w:val="31E6D9EC"/>
    <w:rsid w:val="31E98222"/>
    <w:rsid w:val="31F393BE"/>
    <w:rsid w:val="320F1211"/>
    <w:rsid w:val="321B0D26"/>
    <w:rsid w:val="32CAFEBE"/>
    <w:rsid w:val="3319A962"/>
    <w:rsid w:val="333AABFD"/>
    <w:rsid w:val="33573820"/>
    <w:rsid w:val="336BE332"/>
    <w:rsid w:val="3381ECEC"/>
    <w:rsid w:val="33E4B5F3"/>
    <w:rsid w:val="33F7F821"/>
    <w:rsid w:val="340A7F6D"/>
    <w:rsid w:val="341369DF"/>
    <w:rsid w:val="34355834"/>
    <w:rsid w:val="348AF5C1"/>
    <w:rsid w:val="34DCACF7"/>
    <w:rsid w:val="34DF5FBA"/>
    <w:rsid w:val="34E69BE7"/>
    <w:rsid w:val="356BB83B"/>
    <w:rsid w:val="35B20887"/>
    <w:rsid w:val="35DE4F53"/>
    <w:rsid w:val="35DFD170"/>
    <w:rsid w:val="360506E8"/>
    <w:rsid w:val="367668D1"/>
    <w:rsid w:val="36C17FBE"/>
    <w:rsid w:val="36C301E3"/>
    <w:rsid w:val="36CCB4FF"/>
    <w:rsid w:val="36D8AAE4"/>
    <w:rsid w:val="36E23401"/>
    <w:rsid w:val="371D606E"/>
    <w:rsid w:val="373C910F"/>
    <w:rsid w:val="3753EFB2"/>
    <w:rsid w:val="3775FE03"/>
    <w:rsid w:val="3786117F"/>
    <w:rsid w:val="37E8D050"/>
    <w:rsid w:val="37F65EF0"/>
    <w:rsid w:val="380A8928"/>
    <w:rsid w:val="380E914D"/>
    <w:rsid w:val="380F5261"/>
    <w:rsid w:val="3870FC41"/>
    <w:rsid w:val="387BD65A"/>
    <w:rsid w:val="3889087E"/>
    <w:rsid w:val="389B5BF4"/>
    <w:rsid w:val="38B30B25"/>
    <w:rsid w:val="38B9D524"/>
    <w:rsid w:val="38D1C1B4"/>
    <w:rsid w:val="38D2D52A"/>
    <w:rsid w:val="3908D47A"/>
    <w:rsid w:val="39149122"/>
    <w:rsid w:val="392B8E83"/>
    <w:rsid w:val="39353965"/>
    <w:rsid w:val="3A1EECF6"/>
    <w:rsid w:val="3A2F2965"/>
    <w:rsid w:val="3A39D785"/>
    <w:rsid w:val="3A60691F"/>
    <w:rsid w:val="3A6D9215"/>
    <w:rsid w:val="3A7B4237"/>
    <w:rsid w:val="3A94E5FE"/>
    <w:rsid w:val="3AA1D88B"/>
    <w:rsid w:val="3AFF5542"/>
    <w:rsid w:val="3B1EE6C5"/>
    <w:rsid w:val="3B880B78"/>
    <w:rsid w:val="3B949031"/>
    <w:rsid w:val="3BED9435"/>
    <w:rsid w:val="3C28DD50"/>
    <w:rsid w:val="3C2E7272"/>
    <w:rsid w:val="3CA819C2"/>
    <w:rsid w:val="3CAD546D"/>
    <w:rsid w:val="3CCD49F4"/>
    <w:rsid w:val="3D28CF32"/>
    <w:rsid w:val="3D2B85CC"/>
    <w:rsid w:val="3D358636"/>
    <w:rsid w:val="3D763825"/>
    <w:rsid w:val="3DB5FA68"/>
    <w:rsid w:val="3DC20C42"/>
    <w:rsid w:val="3DD2FDC1"/>
    <w:rsid w:val="3DEACB9F"/>
    <w:rsid w:val="3E7242BE"/>
    <w:rsid w:val="3E9962D5"/>
    <w:rsid w:val="3E9A12E1"/>
    <w:rsid w:val="3EA1A8C3"/>
    <w:rsid w:val="3EA6D419"/>
    <w:rsid w:val="3EB5396C"/>
    <w:rsid w:val="3EC49F93"/>
    <w:rsid w:val="3ED01CF2"/>
    <w:rsid w:val="3F6F639B"/>
    <w:rsid w:val="3F8D2EBD"/>
    <w:rsid w:val="3FE75ED4"/>
    <w:rsid w:val="3FF79148"/>
    <w:rsid w:val="402CF7F8"/>
    <w:rsid w:val="408DB97D"/>
    <w:rsid w:val="40BC5749"/>
    <w:rsid w:val="40C83FEF"/>
    <w:rsid w:val="4128687A"/>
    <w:rsid w:val="417361B0"/>
    <w:rsid w:val="417ACA8D"/>
    <w:rsid w:val="418B12BD"/>
    <w:rsid w:val="41922DDC"/>
    <w:rsid w:val="4193E97A"/>
    <w:rsid w:val="41A0402B"/>
    <w:rsid w:val="41E37CC1"/>
    <w:rsid w:val="42243A93"/>
    <w:rsid w:val="42516A0F"/>
    <w:rsid w:val="42659A33"/>
    <w:rsid w:val="429B1CB8"/>
    <w:rsid w:val="42D6601E"/>
    <w:rsid w:val="42E53C38"/>
    <w:rsid w:val="42EE60EB"/>
    <w:rsid w:val="42FBA6B4"/>
    <w:rsid w:val="43268560"/>
    <w:rsid w:val="43614DBA"/>
    <w:rsid w:val="4362857B"/>
    <w:rsid w:val="436CEDDC"/>
    <w:rsid w:val="43B360B2"/>
    <w:rsid w:val="43BCE34E"/>
    <w:rsid w:val="43D60BAB"/>
    <w:rsid w:val="442296EB"/>
    <w:rsid w:val="443B8BD2"/>
    <w:rsid w:val="44463981"/>
    <w:rsid w:val="44590A3D"/>
    <w:rsid w:val="449E6B49"/>
    <w:rsid w:val="44A851AB"/>
    <w:rsid w:val="451349E5"/>
    <w:rsid w:val="454F3113"/>
    <w:rsid w:val="455C2D71"/>
    <w:rsid w:val="455E8612"/>
    <w:rsid w:val="4565EAA7"/>
    <w:rsid w:val="45C36A3C"/>
    <w:rsid w:val="45E0DA32"/>
    <w:rsid w:val="45ECDB60"/>
    <w:rsid w:val="4631E288"/>
    <w:rsid w:val="469ECCC7"/>
    <w:rsid w:val="46B6A25D"/>
    <w:rsid w:val="46C327A8"/>
    <w:rsid w:val="46FC3CCC"/>
    <w:rsid w:val="476CF0E3"/>
    <w:rsid w:val="48313850"/>
    <w:rsid w:val="483C9361"/>
    <w:rsid w:val="48BFDB45"/>
    <w:rsid w:val="48CC3097"/>
    <w:rsid w:val="48CFA488"/>
    <w:rsid w:val="49038B95"/>
    <w:rsid w:val="49145DF6"/>
    <w:rsid w:val="491D0DCC"/>
    <w:rsid w:val="49461C6F"/>
    <w:rsid w:val="495042CD"/>
    <w:rsid w:val="4983F2FC"/>
    <w:rsid w:val="49B219C5"/>
    <w:rsid w:val="49EBD293"/>
    <w:rsid w:val="4A0A028A"/>
    <w:rsid w:val="4A5392EC"/>
    <w:rsid w:val="4A5FECA3"/>
    <w:rsid w:val="4A93A906"/>
    <w:rsid w:val="4AA0DDCD"/>
    <w:rsid w:val="4AAD0E80"/>
    <w:rsid w:val="4ACB6E5A"/>
    <w:rsid w:val="4B011B99"/>
    <w:rsid w:val="4B38514E"/>
    <w:rsid w:val="4B66C75B"/>
    <w:rsid w:val="4B68C206"/>
    <w:rsid w:val="4B69B67B"/>
    <w:rsid w:val="4B7E8E9E"/>
    <w:rsid w:val="4B8FD412"/>
    <w:rsid w:val="4B95FDE8"/>
    <w:rsid w:val="4B995B73"/>
    <w:rsid w:val="4C36A502"/>
    <w:rsid w:val="4C3B74BF"/>
    <w:rsid w:val="4C420E6B"/>
    <w:rsid w:val="4C439449"/>
    <w:rsid w:val="4C6BB54A"/>
    <w:rsid w:val="4CB2BB21"/>
    <w:rsid w:val="4CE04593"/>
    <w:rsid w:val="4CE97044"/>
    <w:rsid w:val="4CF05CFA"/>
    <w:rsid w:val="4D182D72"/>
    <w:rsid w:val="4D236230"/>
    <w:rsid w:val="4D38F2C2"/>
    <w:rsid w:val="4D555F60"/>
    <w:rsid w:val="4D5F5393"/>
    <w:rsid w:val="4DAECD2A"/>
    <w:rsid w:val="4DC8365B"/>
    <w:rsid w:val="4DD381E4"/>
    <w:rsid w:val="4DD6B42B"/>
    <w:rsid w:val="4E030F1C"/>
    <w:rsid w:val="4E8C4E90"/>
    <w:rsid w:val="4EB14D6B"/>
    <w:rsid w:val="4ECDC2DA"/>
    <w:rsid w:val="4EF6B173"/>
    <w:rsid w:val="4F5A2302"/>
    <w:rsid w:val="4F6771B8"/>
    <w:rsid w:val="4F842484"/>
    <w:rsid w:val="4F86411F"/>
    <w:rsid w:val="4FDE5379"/>
    <w:rsid w:val="50698FDF"/>
    <w:rsid w:val="50850021"/>
    <w:rsid w:val="508C68AA"/>
    <w:rsid w:val="50953ED9"/>
    <w:rsid w:val="509B6656"/>
    <w:rsid w:val="50B52FB0"/>
    <w:rsid w:val="50C9363F"/>
    <w:rsid w:val="50DA7BE2"/>
    <w:rsid w:val="51295108"/>
    <w:rsid w:val="51691CB2"/>
    <w:rsid w:val="517DA515"/>
    <w:rsid w:val="51AB4B61"/>
    <w:rsid w:val="51ACD314"/>
    <w:rsid w:val="51B42833"/>
    <w:rsid w:val="51B50114"/>
    <w:rsid w:val="51FEE599"/>
    <w:rsid w:val="520F5D3B"/>
    <w:rsid w:val="5210CFA0"/>
    <w:rsid w:val="5273B73C"/>
    <w:rsid w:val="52BBF62A"/>
    <w:rsid w:val="52CBD2AC"/>
    <w:rsid w:val="52FA7293"/>
    <w:rsid w:val="536145E6"/>
    <w:rsid w:val="53733FFE"/>
    <w:rsid w:val="539440AC"/>
    <w:rsid w:val="539CCBA7"/>
    <w:rsid w:val="53A82A97"/>
    <w:rsid w:val="53C9BAF2"/>
    <w:rsid w:val="53CD3BF0"/>
    <w:rsid w:val="5430F334"/>
    <w:rsid w:val="5467A30D"/>
    <w:rsid w:val="5490F91B"/>
    <w:rsid w:val="54E541BC"/>
    <w:rsid w:val="5514B31C"/>
    <w:rsid w:val="556D232D"/>
    <w:rsid w:val="55F8507F"/>
    <w:rsid w:val="55F8C557"/>
    <w:rsid w:val="5611EDB4"/>
    <w:rsid w:val="5623179D"/>
    <w:rsid w:val="56887237"/>
    <w:rsid w:val="56D38E69"/>
    <w:rsid w:val="56E49AC4"/>
    <w:rsid w:val="56F29606"/>
    <w:rsid w:val="5757BDC6"/>
    <w:rsid w:val="57613BCD"/>
    <w:rsid w:val="5764A572"/>
    <w:rsid w:val="578BBE2F"/>
    <w:rsid w:val="578E19EB"/>
    <w:rsid w:val="57914747"/>
    <w:rsid w:val="5794C504"/>
    <w:rsid w:val="57980441"/>
    <w:rsid w:val="57B0F7F9"/>
    <w:rsid w:val="580549EE"/>
    <w:rsid w:val="58432F36"/>
    <w:rsid w:val="584FA54C"/>
    <w:rsid w:val="5875E60C"/>
    <w:rsid w:val="58806B25"/>
    <w:rsid w:val="58852AFD"/>
    <w:rsid w:val="5897079E"/>
    <w:rsid w:val="58D51C2D"/>
    <w:rsid w:val="5956A4A6"/>
    <w:rsid w:val="595D1A15"/>
    <w:rsid w:val="59FCF8D9"/>
    <w:rsid w:val="5A0E2BD3"/>
    <w:rsid w:val="5A24CF63"/>
    <w:rsid w:val="5A366002"/>
    <w:rsid w:val="5A3ABE9D"/>
    <w:rsid w:val="5A47F224"/>
    <w:rsid w:val="5A5C1F81"/>
    <w:rsid w:val="5A65B299"/>
    <w:rsid w:val="5AA37C6C"/>
    <w:rsid w:val="5AD1B1B8"/>
    <w:rsid w:val="5AE5AA4B"/>
    <w:rsid w:val="5B2FA54F"/>
    <w:rsid w:val="5B68EE09"/>
    <w:rsid w:val="5BB79D72"/>
    <w:rsid w:val="5BDC9B47"/>
    <w:rsid w:val="5BDDD52E"/>
    <w:rsid w:val="5BEA328E"/>
    <w:rsid w:val="5C70D286"/>
    <w:rsid w:val="5CCFA295"/>
    <w:rsid w:val="5CFC90EC"/>
    <w:rsid w:val="5D27FF53"/>
    <w:rsid w:val="5D583ED6"/>
    <w:rsid w:val="5D6FB18E"/>
    <w:rsid w:val="5DBF4C75"/>
    <w:rsid w:val="5DFEE697"/>
    <w:rsid w:val="5E00DACA"/>
    <w:rsid w:val="5E1A4C79"/>
    <w:rsid w:val="5EA6ED57"/>
    <w:rsid w:val="5EBE8047"/>
    <w:rsid w:val="5EC3A90E"/>
    <w:rsid w:val="5EE65B2A"/>
    <w:rsid w:val="5F0CD8C8"/>
    <w:rsid w:val="5F1BFA24"/>
    <w:rsid w:val="5F20F5E9"/>
    <w:rsid w:val="5F6C1E56"/>
    <w:rsid w:val="5FAA5DA2"/>
    <w:rsid w:val="5FFD8B4D"/>
    <w:rsid w:val="600A8379"/>
    <w:rsid w:val="60242735"/>
    <w:rsid w:val="602ECE59"/>
    <w:rsid w:val="606DE536"/>
    <w:rsid w:val="60BD5F61"/>
    <w:rsid w:val="60C2E7D5"/>
    <w:rsid w:val="60F33798"/>
    <w:rsid w:val="612861E6"/>
    <w:rsid w:val="614B1320"/>
    <w:rsid w:val="6153AC5A"/>
    <w:rsid w:val="6158C12E"/>
    <w:rsid w:val="61617032"/>
    <w:rsid w:val="619D3523"/>
    <w:rsid w:val="61A1F09A"/>
    <w:rsid w:val="61E8C892"/>
    <w:rsid w:val="62065361"/>
    <w:rsid w:val="621E9638"/>
    <w:rsid w:val="623244C4"/>
    <w:rsid w:val="623C1FAA"/>
    <w:rsid w:val="62775F9F"/>
    <w:rsid w:val="6303D04C"/>
    <w:rsid w:val="63321FC8"/>
    <w:rsid w:val="636238F4"/>
    <w:rsid w:val="63839283"/>
    <w:rsid w:val="63B86F05"/>
    <w:rsid w:val="63E76D93"/>
    <w:rsid w:val="63FE868C"/>
    <w:rsid w:val="64006926"/>
    <w:rsid w:val="6453AE99"/>
    <w:rsid w:val="645BF0D8"/>
    <w:rsid w:val="6487EAFF"/>
    <w:rsid w:val="649A2196"/>
    <w:rsid w:val="64D4491D"/>
    <w:rsid w:val="65034865"/>
    <w:rsid w:val="658F0D35"/>
    <w:rsid w:val="659A4445"/>
    <w:rsid w:val="65A4BFC7"/>
    <w:rsid w:val="65B837C1"/>
    <w:rsid w:val="662184BE"/>
    <w:rsid w:val="6642B0C7"/>
    <w:rsid w:val="66CAA62E"/>
    <w:rsid w:val="66DE6523"/>
    <w:rsid w:val="66EBB196"/>
    <w:rsid w:val="67188C36"/>
    <w:rsid w:val="6750135E"/>
    <w:rsid w:val="6750503E"/>
    <w:rsid w:val="67816489"/>
    <w:rsid w:val="67C558CB"/>
    <w:rsid w:val="67DE8128"/>
    <w:rsid w:val="68272B2F"/>
    <w:rsid w:val="68B0D54E"/>
    <w:rsid w:val="68BEBACA"/>
    <w:rsid w:val="68BF090E"/>
    <w:rsid w:val="68E528F9"/>
    <w:rsid w:val="68F28B4A"/>
    <w:rsid w:val="68F9D7E0"/>
    <w:rsid w:val="69157DA2"/>
    <w:rsid w:val="69270433"/>
    <w:rsid w:val="69378F49"/>
    <w:rsid w:val="6942006A"/>
    <w:rsid w:val="694A8378"/>
    <w:rsid w:val="696AD9AA"/>
    <w:rsid w:val="69B8C0FD"/>
    <w:rsid w:val="69DE2449"/>
    <w:rsid w:val="6A18B74F"/>
    <w:rsid w:val="6A2E6BF4"/>
    <w:rsid w:val="6A3A4CD6"/>
    <w:rsid w:val="6A3F6997"/>
    <w:rsid w:val="6A4FE8EC"/>
    <w:rsid w:val="6A60D0AA"/>
    <w:rsid w:val="6A66C0F7"/>
    <w:rsid w:val="6ACB8AD7"/>
    <w:rsid w:val="6AE5D626"/>
    <w:rsid w:val="6B42ADDD"/>
    <w:rsid w:val="6B44B2EA"/>
    <w:rsid w:val="6B5ECBF1"/>
    <w:rsid w:val="6B71D6B2"/>
    <w:rsid w:val="6BB06196"/>
    <w:rsid w:val="6BB07C1D"/>
    <w:rsid w:val="6BF3CA17"/>
    <w:rsid w:val="6C4CA1BA"/>
    <w:rsid w:val="6C58C05F"/>
    <w:rsid w:val="6C5A8BC5"/>
    <w:rsid w:val="6C654735"/>
    <w:rsid w:val="6C964B61"/>
    <w:rsid w:val="6CCB4091"/>
    <w:rsid w:val="6D111677"/>
    <w:rsid w:val="6D322BDC"/>
    <w:rsid w:val="6D373B59"/>
    <w:rsid w:val="6D4B8E04"/>
    <w:rsid w:val="6D724C24"/>
    <w:rsid w:val="6E349A4F"/>
    <w:rsid w:val="6E3E4ACD"/>
    <w:rsid w:val="6E3EF758"/>
    <w:rsid w:val="6E4F8346"/>
    <w:rsid w:val="6E54192C"/>
    <w:rsid w:val="6EDD9A2B"/>
    <w:rsid w:val="6FBFEDEA"/>
    <w:rsid w:val="6FF4B2A4"/>
    <w:rsid w:val="704EC8AE"/>
    <w:rsid w:val="706D8148"/>
    <w:rsid w:val="7088720C"/>
    <w:rsid w:val="70A2F0DE"/>
    <w:rsid w:val="70A7AEE9"/>
    <w:rsid w:val="70D35525"/>
    <w:rsid w:val="7102619C"/>
    <w:rsid w:val="717B4749"/>
    <w:rsid w:val="71932876"/>
    <w:rsid w:val="71E5DB2D"/>
    <w:rsid w:val="71E6E2E6"/>
    <w:rsid w:val="71FC82E9"/>
    <w:rsid w:val="7203DE8A"/>
    <w:rsid w:val="7253B362"/>
    <w:rsid w:val="72B71FFC"/>
    <w:rsid w:val="72D47423"/>
    <w:rsid w:val="72F89393"/>
    <w:rsid w:val="7309C3DF"/>
    <w:rsid w:val="7318A2E4"/>
    <w:rsid w:val="7319C566"/>
    <w:rsid w:val="735F68B8"/>
    <w:rsid w:val="73BAEBC4"/>
    <w:rsid w:val="73D1CA76"/>
    <w:rsid w:val="7431E788"/>
    <w:rsid w:val="74434FC0"/>
    <w:rsid w:val="7446568C"/>
    <w:rsid w:val="744E6555"/>
    <w:rsid w:val="744F00D4"/>
    <w:rsid w:val="7466398E"/>
    <w:rsid w:val="747CB8DC"/>
    <w:rsid w:val="7493C1E4"/>
    <w:rsid w:val="74F38C64"/>
    <w:rsid w:val="754F6A24"/>
    <w:rsid w:val="7594D18E"/>
    <w:rsid w:val="75B39FE0"/>
    <w:rsid w:val="75FBA577"/>
    <w:rsid w:val="7630CC29"/>
    <w:rsid w:val="76465978"/>
    <w:rsid w:val="7667E0E9"/>
    <w:rsid w:val="767DA729"/>
    <w:rsid w:val="767E2DB3"/>
    <w:rsid w:val="76BC0FD9"/>
    <w:rsid w:val="76F160A8"/>
    <w:rsid w:val="76F94E2E"/>
    <w:rsid w:val="770CFD30"/>
    <w:rsid w:val="77359D87"/>
    <w:rsid w:val="777612D5"/>
    <w:rsid w:val="77DCD16E"/>
    <w:rsid w:val="781CB394"/>
    <w:rsid w:val="782877F7"/>
    <w:rsid w:val="78375288"/>
    <w:rsid w:val="78390409"/>
    <w:rsid w:val="7842C0B5"/>
    <w:rsid w:val="7855CC1F"/>
    <w:rsid w:val="78588130"/>
    <w:rsid w:val="785D837B"/>
    <w:rsid w:val="786B4E2C"/>
    <w:rsid w:val="7878CADF"/>
    <w:rsid w:val="78A2D0CC"/>
    <w:rsid w:val="78B3833E"/>
    <w:rsid w:val="78F2CCFA"/>
    <w:rsid w:val="795B6ECA"/>
    <w:rsid w:val="798E702D"/>
    <w:rsid w:val="799AA23D"/>
    <w:rsid w:val="79BFF6FD"/>
    <w:rsid w:val="79ECE48C"/>
    <w:rsid w:val="79F3B01C"/>
    <w:rsid w:val="79FBA797"/>
    <w:rsid w:val="7A3B8D2B"/>
    <w:rsid w:val="7A47C583"/>
    <w:rsid w:val="7A6048D9"/>
    <w:rsid w:val="7A6C1296"/>
    <w:rsid w:val="7A878D0F"/>
    <w:rsid w:val="7A9DDEC9"/>
    <w:rsid w:val="7AB8F777"/>
    <w:rsid w:val="7AC33E9D"/>
    <w:rsid w:val="7AD493F0"/>
    <w:rsid w:val="7ADB26D1"/>
    <w:rsid w:val="7B51184C"/>
    <w:rsid w:val="7B9511C2"/>
    <w:rsid w:val="7BA3B290"/>
    <w:rsid w:val="7BA7AC3F"/>
    <w:rsid w:val="7BB05CC2"/>
    <w:rsid w:val="7BBE783B"/>
    <w:rsid w:val="7BD7F50F"/>
    <w:rsid w:val="7BFED30D"/>
    <w:rsid w:val="7C6AB30A"/>
    <w:rsid w:val="7C9381AC"/>
    <w:rsid w:val="7C987BF5"/>
    <w:rsid w:val="7CAC36EE"/>
    <w:rsid w:val="7CC21137"/>
    <w:rsid w:val="7CEC43E4"/>
    <w:rsid w:val="7D09B833"/>
    <w:rsid w:val="7D5CA4FD"/>
    <w:rsid w:val="7D8C3235"/>
    <w:rsid w:val="7D8E69F7"/>
    <w:rsid w:val="7D9B253F"/>
    <w:rsid w:val="7DC536AE"/>
    <w:rsid w:val="7DCFE614"/>
    <w:rsid w:val="7DD02BE3"/>
    <w:rsid w:val="7DD3E02E"/>
    <w:rsid w:val="7DE6CEA9"/>
    <w:rsid w:val="7EB5561B"/>
    <w:rsid w:val="7EB73110"/>
    <w:rsid w:val="7EBFEC03"/>
    <w:rsid w:val="7ED4A97C"/>
    <w:rsid w:val="7EDA58D1"/>
    <w:rsid w:val="7F280296"/>
    <w:rsid w:val="7F39EDFB"/>
    <w:rsid w:val="7F4D9ADD"/>
    <w:rsid w:val="7F61CA4E"/>
    <w:rsid w:val="7F65B314"/>
    <w:rsid w:val="7FDE9F1B"/>
    <w:rsid w:val="7FE1C904"/>
    <w:rsid w:val="7FE81ED2"/>
    <w:rsid w:val="7FEE7C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C3E243"/>
  <w15:docId w15:val="{6167D844-D6B3-4A89-981D-F102A7E47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5337B2"/>
    <w:pPr>
      <w:outlineLvl w:val="0"/>
    </w:pPr>
    <w:rPr>
      <w:b w:val="0"/>
      <w:sz w:val="36"/>
    </w:rPr>
  </w:style>
  <w:style w:type="paragraph" w:styleId="Heading2">
    <w:name w:val="heading 2"/>
    <w:basedOn w:val="Normal"/>
    <w:next w:val="Normal"/>
    <w:qFormat/>
    <w:rsid w:val="005337B2"/>
    <w:pPr>
      <w:outlineLvl w:val="1"/>
    </w:pPr>
    <w:rPr>
      <w:rFonts w:ascii="Arial Black" w:hAnsi="Arial Black" w:cs="Arial"/>
      <w:b/>
      <w:bCs/>
      <w:sz w:val="32"/>
      <w:szCs w:val="32"/>
    </w:rPr>
  </w:style>
  <w:style w:type="paragraph" w:styleId="Heading3">
    <w:name w:val="heading 3"/>
    <w:basedOn w:val="Normal"/>
    <w:next w:val="Normal"/>
    <w:qFormat/>
    <w:rsid w:val="001F31D6"/>
    <w:pPr>
      <w:ind w:left="720" w:hanging="720"/>
      <w:jc w:val="both"/>
      <w:outlineLvl w:val="2"/>
    </w:pPr>
    <w:rPr>
      <w:rFonts w:cs="Arial"/>
      <w:b/>
      <w:bCs/>
      <w:sz w:val="28"/>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uiPriority w:val="99"/>
    <w:semiHidden/>
    <w:rsid w:val="00377263"/>
    <w:rPr>
      <w:vertAlign w:val="superscript"/>
    </w:rPr>
  </w:style>
  <w:style w:type="paragraph" w:customStyle="1" w:styleId="CharCharCharCharCharCharCharChar">
    <w:name w:val="Char Char Char Char Char Char Char Char"/>
    <w:basedOn w:val="Normal"/>
    <w:rsid w:val="00A501C7"/>
    <w:pPr>
      <w:spacing w:after="160" w:line="240" w:lineRule="exact"/>
    </w:pPr>
    <w:rPr>
      <w:rFonts w:ascii="Tahoma" w:hAnsi="Tahoma"/>
      <w:sz w:val="20"/>
      <w:lang w:eastAsia="en-GB"/>
    </w:rPr>
  </w:style>
  <w:style w:type="paragraph" w:customStyle="1" w:styleId="CharCharCharChar2">
    <w:name w:val="Char Char Char Char2"/>
    <w:basedOn w:val="Normal"/>
    <w:locked/>
    <w:rsid w:val="00F76A77"/>
    <w:pPr>
      <w:spacing w:after="160" w:line="240" w:lineRule="exact"/>
    </w:pPr>
    <w:rPr>
      <w:rFonts w:ascii="Verdana" w:eastAsia="MS ??" w:hAnsi="Verdana" w:cs="Verdana"/>
      <w:sz w:val="20"/>
      <w:lang w:val="en-US"/>
    </w:rPr>
  </w:style>
  <w:style w:type="table" w:styleId="TableGrid">
    <w:name w:val="Table Grid"/>
    <w:basedOn w:val="TableNormal"/>
    <w:rsid w:val="0035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6E61"/>
    <w:rPr>
      <w:color w:val="0000FF"/>
      <w:u w:val="single"/>
    </w:rPr>
  </w:style>
  <w:style w:type="paragraph" w:styleId="FootnoteText">
    <w:name w:val="footnote text"/>
    <w:basedOn w:val="Normal"/>
    <w:link w:val="FootnoteTextChar"/>
    <w:uiPriority w:val="99"/>
    <w:semiHidden/>
    <w:rsid w:val="000D5D8B"/>
    <w:rPr>
      <w:rFonts w:ascii="Times New Roman" w:hAnsi="Times New Roman"/>
      <w:sz w:val="20"/>
    </w:rPr>
  </w:style>
  <w:style w:type="paragraph" w:styleId="NormalWeb">
    <w:name w:val="Normal (Web)"/>
    <w:basedOn w:val="Normal"/>
    <w:uiPriority w:val="99"/>
    <w:semiHidden/>
    <w:rsid w:val="000D5D8B"/>
    <w:pPr>
      <w:spacing w:before="100" w:beforeAutospacing="1" w:after="300"/>
    </w:pPr>
    <w:rPr>
      <w:rFonts w:ascii="Times New Roman" w:eastAsia="Calibri" w:hAnsi="Times New Roman"/>
      <w:szCs w:val="24"/>
      <w:lang w:val="en-US"/>
    </w:rPr>
  </w:style>
  <w:style w:type="paragraph" w:customStyle="1" w:styleId="Normal2">
    <w:name w:val="Normal2"/>
    <w:rsid w:val="000D5D8B"/>
    <w:rPr>
      <w:rFonts w:ascii="Arial" w:hAnsi="Arial"/>
      <w:sz w:val="22"/>
      <w:lang w:val="en-US" w:eastAsia="en-US"/>
    </w:rPr>
  </w:style>
  <w:style w:type="paragraph" w:customStyle="1" w:styleId="CharCharCharChar">
    <w:name w:val="Char Char Char Char"/>
    <w:basedOn w:val="Normal"/>
    <w:locked/>
    <w:rsid w:val="008D0B76"/>
    <w:pPr>
      <w:spacing w:after="160" w:line="240" w:lineRule="exact"/>
    </w:pPr>
    <w:rPr>
      <w:rFonts w:ascii="Verdana" w:hAnsi="Verdana"/>
      <w:sz w:val="20"/>
      <w:lang w:val="en-US"/>
    </w:rPr>
  </w:style>
  <w:style w:type="character" w:styleId="PageNumber">
    <w:name w:val="page number"/>
    <w:rsid w:val="002D7BE3"/>
  </w:style>
  <w:style w:type="paragraph" w:styleId="ListParagraph">
    <w:name w:val="List Paragraph"/>
    <w:basedOn w:val="Normal"/>
    <w:link w:val="ListParagraphChar"/>
    <w:uiPriority w:val="34"/>
    <w:qFormat/>
    <w:rsid w:val="002D7BE3"/>
    <w:pPr>
      <w:ind w:left="720"/>
    </w:pPr>
    <w:rPr>
      <w:rFonts w:eastAsia="Calibri" w:cs="Arial"/>
      <w:color w:val="000000"/>
      <w:sz w:val="22"/>
      <w:szCs w:val="22"/>
      <w:lang w:eastAsia="en-GB"/>
    </w:rPr>
  </w:style>
  <w:style w:type="character" w:styleId="UnresolvedMention">
    <w:name w:val="Unresolved Mention"/>
    <w:basedOn w:val="DefaultParagraphFont"/>
    <w:uiPriority w:val="99"/>
    <w:semiHidden/>
    <w:unhideWhenUsed/>
    <w:rsid w:val="009670A0"/>
    <w:rPr>
      <w:color w:val="605E5C"/>
      <w:shd w:val="clear" w:color="auto" w:fill="E1DFDD"/>
    </w:rPr>
  </w:style>
  <w:style w:type="paragraph" w:customStyle="1" w:styleId="paragraph">
    <w:name w:val="paragraph"/>
    <w:basedOn w:val="Normal"/>
    <w:rsid w:val="00167ACC"/>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167ACC"/>
  </w:style>
  <w:style w:type="character" w:customStyle="1" w:styleId="eop">
    <w:name w:val="eop"/>
    <w:basedOn w:val="DefaultParagraphFont"/>
    <w:rsid w:val="00167ACC"/>
  </w:style>
  <w:style w:type="character" w:customStyle="1" w:styleId="FootnoteTextChar">
    <w:name w:val="Footnote Text Char"/>
    <w:basedOn w:val="DefaultParagraphFont"/>
    <w:link w:val="FootnoteText"/>
    <w:uiPriority w:val="99"/>
    <w:semiHidden/>
    <w:rsid w:val="00336C8B"/>
    <w:rPr>
      <w:lang w:eastAsia="en-US"/>
    </w:rPr>
  </w:style>
  <w:style w:type="paragraph" w:customStyle="1" w:styleId="Default">
    <w:name w:val="Default"/>
    <w:rsid w:val="002F3787"/>
    <w:pPr>
      <w:autoSpaceDE w:val="0"/>
      <w:autoSpaceDN w:val="0"/>
      <w:adjustRightInd w:val="0"/>
    </w:pPr>
    <w:rPr>
      <w:rFonts w:ascii="Arial" w:eastAsiaTheme="minorHAnsi" w:hAnsi="Arial" w:cs="Arial"/>
      <w:color w:val="000000"/>
      <w:sz w:val="24"/>
      <w:szCs w:val="24"/>
      <w:lang w:eastAsia="en-US"/>
    </w:rPr>
  </w:style>
  <w:style w:type="character" w:customStyle="1" w:styleId="ListParagraphChar">
    <w:name w:val="List Paragraph Char"/>
    <w:link w:val="ListParagraph"/>
    <w:uiPriority w:val="34"/>
    <w:rsid w:val="003B68AE"/>
    <w:rPr>
      <w:rFonts w:ascii="Arial" w:eastAsia="Calibri" w:hAnsi="Arial" w:cs="Arial"/>
      <w:color w:val="000000"/>
      <w:sz w:val="22"/>
      <w:szCs w:val="22"/>
    </w:rPr>
  </w:style>
  <w:style w:type="character" w:styleId="CommentReference">
    <w:name w:val="annotation reference"/>
    <w:basedOn w:val="DefaultParagraphFont"/>
    <w:semiHidden/>
    <w:unhideWhenUsed/>
    <w:rsid w:val="003B68AE"/>
    <w:rPr>
      <w:sz w:val="16"/>
      <w:szCs w:val="16"/>
    </w:rPr>
  </w:style>
  <w:style w:type="character" w:styleId="FollowedHyperlink">
    <w:name w:val="FollowedHyperlink"/>
    <w:basedOn w:val="DefaultParagraphFont"/>
    <w:semiHidden/>
    <w:unhideWhenUsed/>
    <w:rsid w:val="00BC4139"/>
    <w:rPr>
      <w:color w:val="800080" w:themeColor="followedHyperlink"/>
      <w:u w:val="single"/>
    </w:rPr>
  </w:style>
  <w:style w:type="paragraph" w:styleId="CommentText">
    <w:name w:val="annotation text"/>
    <w:basedOn w:val="Normal"/>
    <w:link w:val="CommentTextChar"/>
    <w:semiHidden/>
    <w:unhideWhenUsed/>
    <w:rsid w:val="00C55979"/>
    <w:rPr>
      <w:sz w:val="20"/>
    </w:rPr>
  </w:style>
  <w:style w:type="character" w:customStyle="1" w:styleId="CommentTextChar">
    <w:name w:val="Comment Text Char"/>
    <w:basedOn w:val="DefaultParagraphFont"/>
    <w:link w:val="CommentText"/>
    <w:semiHidden/>
    <w:rsid w:val="00C55979"/>
    <w:rPr>
      <w:rFonts w:ascii="Arial" w:hAnsi="Arial"/>
      <w:lang w:eastAsia="en-US"/>
    </w:rPr>
  </w:style>
  <w:style w:type="paragraph" w:styleId="CommentSubject">
    <w:name w:val="annotation subject"/>
    <w:basedOn w:val="CommentText"/>
    <w:next w:val="CommentText"/>
    <w:link w:val="CommentSubjectChar"/>
    <w:semiHidden/>
    <w:unhideWhenUsed/>
    <w:rsid w:val="00C55979"/>
    <w:rPr>
      <w:b/>
      <w:bCs/>
    </w:rPr>
  </w:style>
  <w:style w:type="character" w:customStyle="1" w:styleId="CommentSubjectChar">
    <w:name w:val="Comment Subject Char"/>
    <w:basedOn w:val="CommentTextChar"/>
    <w:link w:val="CommentSubject"/>
    <w:semiHidden/>
    <w:rsid w:val="00C55979"/>
    <w:rPr>
      <w:rFonts w:ascii="Arial" w:hAnsi="Arial"/>
      <w:b/>
      <w:bCs/>
      <w:lang w:eastAsia="en-US"/>
    </w:rPr>
  </w:style>
  <w:style w:type="character" w:customStyle="1" w:styleId="A6">
    <w:name w:val="A6"/>
    <w:uiPriority w:val="99"/>
    <w:rsid w:val="002F4A3E"/>
    <w:rPr>
      <w:rFonts w:cs="Univers"/>
      <w:color w:val="000000"/>
      <w:sz w:val="20"/>
      <w:szCs w:val="20"/>
    </w:rPr>
  </w:style>
  <w:style w:type="paragraph" w:styleId="Revision">
    <w:name w:val="Revision"/>
    <w:hidden/>
    <w:uiPriority w:val="99"/>
    <w:semiHidden/>
    <w:rsid w:val="00B672ED"/>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05583">
      <w:bodyDiv w:val="1"/>
      <w:marLeft w:val="0"/>
      <w:marRight w:val="0"/>
      <w:marTop w:val="0"/>
      <w:marBottom w:val="0"/>
      <w:divBdr>
        <w:top w:val="none" w:sz="0" w:space="0" w:color="auto"/>
        <w:left w:val="none" w:sz="0" w:space="0" w:color="auto"/>
        <w:bottom w:val="none" w:sz="0" w:space="0" w:color="auto"/>
        <w:right w:val="none" w:sz="0" w:space="0" w:color="auto"/>
      </w:divBdr>
    </w:div>
    <w:div w:id="581793437">
      <w:bodyDiv w:val="1"/>
      <w:marLeft w:val="0"/>
      <w:marRight w:val="0"/>
      <w:marTop w:val="0"/>
      <w:marBottom w:val="0"/>
      <w:divBdr>
        <w:top w:val="none" w:sz="0" w:space="0" w:color="auto"/>
        <w:left w:val="none" w:sz="0" w:space="0" w:color="auto"/>
        <w:bottom w:val="none" w:sz="0" w:space="0" w:color="auto"/>
        <w:right w:val="none" w:sz="0" w:space="0" w:color="auto"/>
      </w:divBdr>
    </w:div>
    <w:div w:id="697434251">
      <w:bodyDiv w:val="1"/>
      <w:marLeft w:val="0"/>
      <w:marRight w:val="0"/>
      <w:marTop w:val="0"/>
      <w:marBottom w:val="0"/>
      <w:divBdr>
        <w:top w:val="none" w:sz="0" w:space="0" w:color="auto"/>
        <w:left w:val="none" w:sz="0" w:space="0" w:color="auto"/>
        <w:bottom w:val="none" w:sz="0" w:space="0" w:color="auto"/>
        <w:right w:val="none" w:sz="0" w:space="0" w:color="auto"/>
      </w:divBdr>
    </w:div>
    <w:div w:id="793132766">
      <w:bodyDiv w:val="1"/>
      <w:marLeft w:val="0"/>
      <w:marRight w:val="0"/>
      <w:marTop w:val="0"/>
      <w:marBottom w:val="0"/>
      <w:divBdr>
        <w:top w:val="none" w:sz="0" w:space="0" w:color="auto"/>
        <w:left w:val="none" w:sz="0" w:space="0" w:color="auto"/>
        <w:bottom w:val="none" w:sz="0" w:space="0" w:color="auto"/>
        <w:right w:val="none" w:sz="0" w:space="0" w:color="auto"/>
      </w:divBdr>
    </w:div>
    <w:div w:id="808401347">
      <w:bodyDiv w:val="1"/>
      <w:marLeft w:val="0"/>
      <w:marRight w:val="0"/>
      <w:marTop w:val="0"/>
      <w:marBottom w:val="0"/>
      <w:divBdr>
        <w:top w:val="none" w:sz="0" w:space="0" w:color="auto"/>
        <w:left w:val="none" w:sz="0" w:space="0" w:color="auto"/>
        <w:bottom w:val="none" w:sz="0" w:space="0" w:color="auto"/>
        <w:right w:val="none" w:sz="0" w:space="0" w:color="auto"/>
      </w:divBdr>
    </w:div>
    <w:div w:id="1510633581">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callum.sayers@harrow.gov.uk" TargetMode="External"/><Relationship Id="rId3" Type="http://schemas.openxmlformats.org/officeDocument/2006/relationships/customXml" Target="../customXml/item3.xml"/><Relationship Id="rId21" Type="http://schemas.openxmlformats.org/officeDocument/2006/relationships/hyperlink" Target="https://www.harrow.gov.uk/downloads/file/26426/local-plan-core-strategy.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london.gov.uk/sites/default/files/the_london_plan_202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1005759/NPPF_July_202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moderngov.harrow.gov.uk/documents/s176909/Cabinet%20Report%20-%20May%202022%20-%20Tall%20Buildings%20and%20Conversions%20-%20FINAL%20V2%20-%202205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BF5D15-B2BD-49D2-9CB3-DE2894F69ABC}">
  <ds:schemaRefs>
    <ds:schemaRef ds:uri="http://schemas.openxmlformats.org/officeDocument/2006/bibliography"/>
  </ds:schemaRefs>
</ds:datastoreItem>
</file>

<file path=customXml/itemProps2.xml><?xml version="1.0" encoding="utf-8"?>
<ds:datastoreItem xmlns:ds="http://schemas.openxmlformats.org/officeDocument/2006/customXml" ds:itemID="{DC8F4ACF-3590-4AFA-B6D3-758BA428D5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5FA061-2DE8-47AC-B80E-2C4AA64F5490}">
  <ds:schemaRefs>
    <ds:schemaRef ds:uri="http://schemas.microsoft.com/sharepoint/v3/contenttype/forms"/>
  </ds:schemaRefs>
</ds:datastoreItem>
</file>

<file path=customXml/itemProps4.xml><?xml version="1.0" encoding="utf-8"?>
<ds:datastoreItem xmlns:ds="http://schemas.openxmlformats.org/officeDocument/2006/customXml" ds:itemID="{0C20554A-BA27-44A4-B638-B8DA94A8F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4757</Words>
  <Characters>27118</Characters>
  <Application>Microsoft Office Word</Application>
  <DocSecurity>0</DocSecurity>
  <Lines>225</Lines>
  <Paragraphs>63</Paragraphs>
  <ScaleCrop>false</ScaleCrop>
  <Company>Harrow Council</Company>
  <LinksUpToDate>false</LinksUpToDate>
  <CharactersWithSpaces>31812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subject/>
  <dc:creator>Harrow IT Services</dc:creator>
  <cp:keywords/>
  <cp:lastModifiedBy>David Hughes</cp:lastModifiedBy>
  <cp:revision>72</cp:revision>
  <cp:lastPrinted>2014-11-17T16:34:00Z</cp:lastPrinted>
  <dcterms:created xsi:type="dcterms:W3CDTF">2022-12-19T14:16:00Z</dcterms:created>
  <dcterms:modified xsi:type="dcterms:W3CDTF">2022-12-23T06:25:00Z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ies>
</file>